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87E3" w14:textId="77777777" w:rsidR="00405B7A" w:rsidRDefault="00405B7A" w:rsidP="00405B7A">
      <w:pPr>
        <w:pStyle w:val="paragraph"/>
        <w:spacing w:before="0" w:beforeAutospacing="0" w:after="0" w:afterAutospacing="0"/>
        <w:textAlignment w:val="baseline"/>
        <w:rPr>
          <w:rStyle w:val="normaltextrun"/>
          <w:rFonts w:ascii="Calibri" w:hAnsi="Calibri" w:cs="Calibri"/>
          <w:b/>
          <w:bCs/>
          <w:sz w:val="32"/>
          <w:szCs w:val="32"/>
          <w:lang w:val="en"/>
        </w:rPr>
      </w:pPr>
    </w:p>
    <w:p w14:paraId="335324E6" w14:textId="77777777" w:rsidR="00405B7A" w:rsidRDefault="00405B7A" w:rsidP="009E35BE">
      <w:pPr>
        <w:pStyle w:val="paragraph"/>
        <w:spacing w:before="0" w:beforeAutospacing="0" w:after="0" w:afterAutospacing="0"/>
        <w:jc w:val="center"/>
        <w:textAlignment w:val="baseline"/>
        <w:rPr>
          <w:rStyle w:val="normaltextrun"/>
          <w:rFonts w:ascii="Calibri" w:hAnsi="Calibri" w:cs="Calibri"/>
          <w:b/>
          <w:bCs/>
          <w:sz w:val="32"/>
          <w:szCs w:val="32"/>
          <w:lang w:val="en"/>
        </w:rPr>
      </w:pPr>
    </w:p>
    <w:p w14:paraId="153734D6" w14:textId="0CB91479" w:rsidR="009E35BE" w:rsidRDefault="009E35BE" w:rsidP="009E35BE">
      <w:pPr>
        <w:pStyle w:val="paragraph"/>
        <w:spacing w:before="0" w:beforeAutospacing="0" w:after="0" w:afterAutospacing="0"/>
        <w:jc w:val="center"/>
        <w:textAlignment w:val="baseline"/>
        <w:rPr>
          <w:rStyle w:val="normaltextrun"/>
          <w:rFonts w:ascii="Calibri" w:hAnsi="Calibri" w:cs="Calibri"/>
          <w:b/>
          <w:bCs/>
          <w:sz w:val="32"/>
          <w:szCs w:val="32"/>
          <w:lang w:val="en"/>
        </w:rPr>
      </w:pPr>
      <w:r>
        <w:rPr>
          <w:rStyle w:val="normaltextrun"/>
          <w:rFonts w:ascii="Calibri" w:hAnsi="Calibri" w:cs="Calibri"/>
          <w:b/>
          <w:bCs/>
          <w:sz w:val="32"/>
          <w:szCs w:val="32"/>
          <w:lang w:val="en"/>
        </w:rPr>
        <w:t xml:space="preserve">TWELVE BASIC PRINCIPLES OF CONSULTATION </w:t>
      </w:r>
    </w:p>
    <w:p w14:paraId="01F2ACD2" w14:textId="77777777" w:rsidR="009E35BE" w:rsidRDefault="009E35BE" w:rsidP="009E35BE">
      <w:pPr>
        <w:pStyle w:val="paragraph"/>
        <w:spacing w:before="0" w:beforeAutospacing="0" w:after="0" w:afterAutospacing="0"/>
        <w:jc w:val="center"/>
        <w:textAlignment w:val="baseline"/>
        <w:rPr>
          <w:rStyle w:val="normaltextrun"/>
          <w:rFonts w:ascii="Calibri" w:hAnsi="Calibri" w:cs="Calibri"/>
          <w:b/>
          <w:bCs/>
          <w:sz w:val="32"/>
          <w:szCs w:val="32"/>
          <w:lang w:val="en"/>
        </w:rPr>
      </w:pPr>
      <w:r>
        <w:rPr>
          <w:rStyle w:val="normaltextrun"/>
          <w:rFonts w:ascii="Calibri" w:hAnsi="Calibri" w:cs="Calibri"/>
          <w:b/>
          <w:bCs/>
          <w:sz w:val="32"/>
          <w:szCs w:val="32"/>
          <w:lang w:val="en"/>
        </w:rPr>
        <w:t>WITH INDIGENOUS</w:t>
      </w:r>
    </w:p>
    <w:p w14:paraId="55DC94CF" w14:textId="77777777" w:rsidR="009E35BE" w:rsidRDefault="009E35BE" w:rsidP="009E35BE">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b/>
          <w:bCs/>
          <w:sz w:val="32"/>
          <w:szCs w:val="32"/>
          <w:lang w:val="en"/>
        </w:rPr>
        <w:t xml:space="preserve"> PEOPLES</w:t>
      </w:r>
      <w:r>
        <w:rPr>
          <w:rStyle w:val="eop"/>
          <w:rFonts w:ascii="Calibri" w:hAnsi="Calibri" w:cs="Calibri"/>
          <w:sz w:val="32"/>
          <w:szCs w:val="32"/>
        </w:rPr>
        <w:t> </w:t>
      </w:r>
    </w:p>
    <w:p w14:paraId="02A94A9B" w14:textId="764FC7EC" w:rsidR="00427ACF" w:rsidRDefault="00427ACF"/>
    <w:p w14:paraId="6DB5A4E3" w14:textId="6E4015C5" w:rsidR="009E35BE" w:rsidRDefault="009E35BE">
      <w:pPr>
        <w:rPr>
          <w:rFonts w:asciiTheme="majorHAnsi" w:hAnsiTheme="majorHAnsi" w:cstheme="majorHAnsi"/>
          <w:lang w:val="en"/>
        </w:rPr>
      </w:pPr>
      <w:r>
        <w:rPr>
          <w:rFonts w:asciiTheme="majorHAnsi" w:hAnsiTheme="majorHAnsi" w:cstheme="majorHAnsi"/>
          <w:lang w:val="en"/>
        </w:rPr>
        <w:t>This document</w:t>
      </w:r>
      <w:r w:rsidR="0048585D">
        <w:rPr>
          <w:rStyle w:val="FootnoteReference"/>
          <w:rFonts w:asciiTheme="majorHAnsi" w:hAnsiTheme="majorHAnsi" w:cstheme="majorHAnsi"/>
          <w:lang w:val="en"/>
        </w:rPr>
        <w:footnoteReference w:id="1"/>
      </w:r>
      <w:r>
        <w:rPr>
          <w:rFonts w:asciiTheme="majorHAnsi" w:hAnsiTheme="majorHAnsi" w:cstheme="majorHAnsi"/>
          <w:lang w:val="en"/>
        </w:rPr>
        <w:t xml:space="preserve"> </w:t>
      </w:r>
      <w:r w:rsidRPr="00D60E49">
        <w:rPr>
          <w:rFonts w:asciiTheme="majorHAnsi" w:hAnsiTheme="majorHAnsi" w:cstheme="majorHAnsi"/>
          <w:lang w:val="en"/>
        </w:rPr>
        <w:t xml:space="preserve">describes basic principles of consultation under ILO Convention 169, which </w:t>
      </w:r>
      <w:r w:rsidRPr="00D60E49">
        <w:rPr>
          <w:rStyle w:val="normaltextrun"/>
          <w:rFonts w:asciiTheme="majorHAnsi" w:hAnsiTheme="majorHAnsi" w:cstheme="majorHAnsi"/>
          <w:color w:val="000000"/>
          <w:shd w:val="clear" w:color="auto" w:fill="FFFFFF"/>
          <w:lang w:val="en"/>
        </w:rPr>
        <w:t>a considerable number of Governments have ratified</w:t>
      </w:r>
      <w:r w:rsidRPr="00D60E49">
        <w:rPr>
          <w:rFonts w:asciiTheme="majorHAnsi" w:hAnsiTheme="majorHAnsi" w:cstheme="majorHAnsi"/>
          <w:lang w:val="en"/>
        </w:rPr>
        <w:t>. This document is intended to serve as a guide to fruitful discussion among governments officials, Indigenous Peoples, the private sector</w:t>
      </w:r>
      <w:r>
        <w:rPr>
          <w:rFonts w:asciiTheme="majorHAnsi" w:hAnsiTheme="majorHAnsi" w:cstheme="majorHAnsi"/>
          <w:lang w:val="en"/>
        </w:rPr>
        <w:t>, and other stakeholders.</w:t>
      </w:r>
    </w:p>
    <w:p w14:paraId="3243CA8C" w14:textId="77777777" w:rsidR="009E35BE" w:rsidRDefault="009E35BE">
      <w:pPr>
        <w:rPr>
          <w:rFonts w:asciiTheme="majorHAnsi" w:hAnsiTheme="majorHAnsi" w:cstheme="majorHAnsi"/>
          <w:lang w:val="en"/>
        </w:rPr>
      </w:pPr>
    </w:p>
    <w:p w14:paraId="2B9A98AF" w14:textId="35C6E71A" w:rsidR="009E35BE" w:rsidRDefault="009E35BE">
      <w:pPr>
        <w:rPr>
          <w:rStyle w:val="normaltextrun"/>
          <w:rFonts w:asciiTheme="majorHAnsi" w:hAnsiTheme="majorHAnsi" w:cstheme="majorHAnsi"/>
          <w:i/>
          <w:iCs/>
          <w:color w:val="000000"/>
          <w:shd w:val="clear" w:color="auto" w:fill="FFFFFF"/>
          <w:lang w:val="en"/>
        </w:rPr>
      </w:pPr>
      <w:r w:rsidRPr="00D60E49">
        <w:rPr>
          <w:rStyle w:val="normaltextrun"/>
          <w:rFonts w:asciiTheme="majorHAnsi" w:hAnsiTheme="majorHAnsi" w:cstheme="majorHAnsi"/>
          <w:color w:val="000000"/>
          <w:shd w:val="clear" w:color="auto" w:fill="FFFFFF"/>
          <w:lang w:val="en"/>
        </w:rPr>
        <w:t xml:space="preserve">This document was created as part of our review of international jurisprudence on Indigenous rights, which focused on ILO Convention No. 169 </w:t>
      </w:r>
      <w:r w:rsidRPr="00D60E49">
        <w:rPr>
          <w:rStyle w:val="normaltextrun"/>
          <w:rFonts w:asciiTheme="majorHAnsi" w:hAnsiTheme="majorHAnsi" w:cstheme="majorHAnsi"/>
          <w:i/>
          <w:iCs/>
          <w:color w:val="000000"/>
          <w:shd w:val="clear" w:color="auto" w:fill="FFFFFF"/>
          <w:lang w:val="en"/>
        </w:rPr>
        <w:t>On Indigenous and Tribal Peoples in Independent Countries</w:t>
      </w:r>
      <w:r>
        <w:rPr>
          <w:rStyle w:val="normaltextrun"/>
          <w:rFonts w:asciiTheme="majorHAnsi" w:hAnsiTheme="majorHAnsi" w:cstheme="majorHAnsi"/>
          <w:i/>
          <w:iCs/>
          <w:color w:val="000000"/>
          <w:shd w:val="clear" w:color="auto" w:fill="FFFFFF"/>
          <w:lang w:val="en"/>
        </w:rPr>
        <w:t>.</w:t>
      </w:r>
      <w:r w:rsidR="0048585D">
        <w:rPr>
          <w:rStyle w:val="FootnoteReference"/>
          <w:rFonts w:asciiTheme="majorHAnsi" w:hAnsiTheme="majorHAnsi" w:cstheme="majorHAnsi"/>
          <w:i/>
          <w:iCs/>
          <w:color w:val="000000"/>
          <w:shd w:val="clear" w:color="auto" w:fill="FFFFFF"/>
          <w:lang w:val="en"/>
        </w:rPr>
        <w:footnoteReference w:id="2"/>
      </w:r>
    </w:p>
    <w:p w14:paraId="69FE041D" w14:textId="50F0B489" w:rsidR="009E35BE" w:rsidRDefault="009E35BE">
      <w:pPr>
        <w:rPr>
          <w:rStyle w:val="normaltextrun"/>
          <w:rFonts w:asciiTheme="majorHAnsi" w:hAnsiTheme="majorHAnsi" w:cstheme="majorHAnsi"/>
          <w:i/>
          <w:iCs/>
          <w:color w:val="000000"/>
          <w:shd w:val="clear" w:color="auto" w:fill="FFFFFF"/>
          <w:lang w:val="en"/>
        </w:rPr>
      </w:pPr>
    </w:p>
    <w:p w14:paraId="79383B95" w14:textId="77777777" w:rsidR="009E35BE" w:rsidRPr="00D60E49" w:rsidRDefault="009E35BE" w:rsidP="009E35BE">
      <w:pPr>
        <w:rPr>
          <w:rFonts w:asciiTheme="majorHAnsi" w:hAnsiTheme="majorHAnsi" w:cstheme="majorHAnsi"/>
          <w:lang w:val="en"/>
        </w:rPr>
      </w:pPr>
      <w:r w:rsidRPr="00D60E49">
        <w:rPr>
          <w:rFonts w:asciiTheme="majorHAnsi" w:hAnsiTheme="majorHAnsi" w:cstheme="majorHAnsi"/>
          <w:lang w:val="en"/>
        </w:rPr>
        <w:t xml:space="preserve">We aim </w:t>
      </w:r>
      <w:r>
        <w:rPr>
          <w:rFonts w:asciiTheme="majorHAnsi" w:hAnsiTheme="majorHAnsi" w:cstheme="majorHAnsi"/>
          <w:lang w:val="en"/>
        </w:rPr>
        <w:t xml:space="preserve">here </w:t>
      </w:r>
      <w:r w:rsidRPr="00D60E49">
        <w:rPr>
          <w:rFonts w:asciiTheme="majorHAnsi" w:hAnsiTheme="majorHAnsi" w:cstheme="majorHAnsi"/>
          <w:lang w:val="en"/>
        </w:rPr>
        <w:t xml:space="preserve">to identify the basic principles of consultation to ensure that any legislation, regulation, or internal protocols </w:t>
      </w:r>
      <w:r>
        <w:rPr>
          <w:rFonts w:asciiTheme="majorHAnsi" w:hAnsiTheme="majorHAnsi" w:cstheme="majorHAnsi"/>
          <w:lang w:val="en"/>
        </w:rPr>
        <w:t>adopted by</w:t>
      </w:r>
      <w:r w:rsidRPr="00D60E49">
        <w:rPr>
          <w:rFonts w:asciiTheme="majorHAnsi" w:hAnsiTheme="majorHAnsi" w:cstheme="majorHAnsi"/>
          <w:lang w:val="en"/>
        </w:rPr>
        <w:t xml:space="preserve"> signatory countries of the Convention are consistent with the obligations they assumed upon ratification. </w:t>
      </w:r>
    </w:p>
    <w:p w14:paraId="3D4ACA1B" w14:textId="56FC6E93" w:rsidR="009E35BE" w:rsidRDefault="009E35BE"/>
    <w:p w14:paraId="5FA73629" w14:textId="2C5D5EF4" w:rsidR="009E35BE" w:rsidRDefault="009E35BE" w:rsidP="009E35BE">
      <w:pPr>
        <w:spacing w:line="360" w:lineRule="auto"/>
        <w:rPr>
          <w:rFonts w:cstheme="minorHAnsi"/>
          <w:b/>
          <w:bCs/>
          <w:lang w:val="en"/>
        </w:rPr>
      </w:pPr>
      <w:r w:rsidRPr="00D60E49">
        <w:rPr>
          <w:rFonts w:cstheme="minorHAnsi"/>
          <w:b/>
          <w:bCs/>
          <w:lang w:val="en"/>
        </w:rPr>
        <w:t xml:space="preserve">Countries that have </w:t>
      </w:r>
      <w:r>
        <w:rPr>
          <w:rFonts w:cstheme="minorHAnsi"/>
          <w:b/>
          <w:bCs/>
          <w:lang w:val="en"/>
        </w:rPr>
        <w:t>R</w:t>
      </w:r>
      <w:r w:rsidRPr="00D60E49">
        <w:rPr>
          <w:rFonts w:cstheme="minorHAnsi"/>
          <w:b/>
          <w:bCs/>
          <w:lang w:val="en"/>
        </w:rPr>
        <w:t>atified the Convention</w:t>
      </w:r>
    </w:p>
    <w:p w14:paraId="151080BF" w14:textId="73EBA73D" w:rsidR="009E35BE" w:rsidRPr="00D60E49" w:rsidRDefault="009E35BE" w:rsidP="009E35BE">
      <w:pPr>
        <w:rPr>
          <w:rFonts w:cstheme="minorHAnsi"/>
          <w:b/>
          <w:bCs/>
        </w:rPr>
      </w:pPr>
      <w:r w:rsidRPr="00D60E49">
        <w:rPr>
          <w:rFonts w:asciiTheme="majorHAnsi" w:hAnsiTheme="majorHAnsi" w:cstheme="majorHAnsi"/>
          <w:lang w:val="en"/>
        </w:rPr>
        <w:t xml:space="preserve">Countries that have ratified the Convention are identified on the International </w:t>
      </w:r>
      <w:proofErr w:type="spellStart"/>
      <w:r w:rsidRPr="00D60E49">
        <w:rPr>
          <w:rFonts w:asciiTheme="majorHAnsi" w:hAnsiTheme="majorHAnsi" w:cstheme="majorHAnsi"/>
          <w:lang w:val="en"/>
        </w:rPr>
        <w:t>Labour</w:t>
      </w:r>
      <w:proofErr w:type="spellEnd"/>
      <w:r w:rsidRPr="00D60E49">
        <w:rPr>
          <w:rFonts w:asciiTheme="majorHAnsi" w:hAnsiTheme="majorHAnsi" w:cstheme="majorHAnsi"/>
          <w:lang w:val="en"/>
        </w:rPr>
        <w:t xml:space="preserve"> Organization’s website:</w:t>
      </w:r>
      <w:r>
        <w:rPr>
          <w:rFonts w:asciiTheme="majorHAnsi" w:hAnsiTheme="majorHAnsi" w:cstheme="majorHAnsi"/>
          <w:lang w:val="en"/>
        </w:rPr>
        <w:t xml:space="preserve"> </w:t>
      </w:r>
      <w:hyperlink r:id="rId8" w:tgtFrame="_blank" w:history="1">
        <w:r w:rsidRPr="00924A62">
          <w:rPr>
            <w:rStyle w:val="normaltextrun"/>
            <w:rFonts w:asciiTheme="majorHAnsi" w:hAnsiTheme="majorHAnsi" w:cstheme="majorHAnsi"/>
            <w:color w:val="0563C1"/>
            <w:u w:val="single"/>
            <w:shd w:val="clear" w:color="auto" w:fill="FFFFFF"/>
            <w:lang w:val="en"/>
          </w:rPr>
          <w:t>https://www.ilo.org/dyn/normlex/es/f?p=NORMLEXPUB:11300:0::NO::P11300_INSTRUMENT_ID:312314b</w:t>
        </w:r>
      </w:hyperlink>
      <w:r>
        <w:rPr>
          <w:rStyle w:val="normaltextrun"/>
          <w:rFonts w:asciiTheme="majorHAnsi" w:hAnsiTheme="majorHAnsi" w:cstheme="majorHAnsi"/>
          <w:color w:val="0563C1"/>
          <w:u w:val="single"/>
          <w:shd w:val="clear" w:color="auto" w:fill="FFFFFF"/>
          <w:lang w:val="en"/>
        </w:rPr>
        <w:t>.</w:t>
      </w:r>
    </w:p>
    <w:p w14:paraId="2D2AD7D8" w14:textId="74C6A015" w:rsidR="009E35BE" w:rsidRDefault="009E35BE"/>
    <w:p w14:paraId="73307A66" w14:textId="77777777" w:rsidR="009E35BE" w:rsidRPr="00D60E49" w:rsidRDefault="009E35BE" w:rsidP="009E35BE">
      <w:pPr>
        <w:spacing w:line="360" w:lineRule="auto"/>
        <w:rPr>
          <w:rFonts w:cstheme="minorHAnsi"/>
          <w:b/>
          <w:bCs/>
        </w:rPr>
      </w:pPr>
      <w:r w:rsidRPr="00D60E49">
        <w:rPr>
          <w:rFonts w:cstheme="minorHAnsi"/>
          <w:b/>
          <w:bCs/>
          <w:lang w:val="en"/>
        </w:rPr>
        <w:t>The Pact of San Jose</w:t>
      </w:r>
    </w:p>
    <w:p w14:paraId="2CB13EDA" w14:textId="643A6918" w:rsidR="009E35BE" w:rsidRDefault="009E35BE">
      <w:pPr>
        <w:rPr>
          <w:rFonts w:asciiTheme="majorHAnsi" w:hAnsiTheme="majorHAnsi" w:cstheme="majorHAnsi"/>
          <w:lang w:val="en"/>
        </w:rPr>
      </w:pPr>
      <w:r>
        <w:rPr>
          <w:rFonts w:asciiTheme="majorHAnsi" w:hAnsiTheme="majorHAnsi" w:cstheme="majorHAnsi"/>
          <w:lang w:val="en"/>
        </w:rPr>
        <w:t>Many</w:t>
      </w:r>
      <w:r w:rsidRPr="00D60E49">
        <w:rPr>
          <w:rFonts w:asciiTheme="majorHAnsi" w:hAnsiTheme="majorHAnsi" w:cstheme="majorHAnsi"/>
          <w:lang w:val="en"/>
        </w:rPr>
        <w:t xml:space="preserve"> of these countries have also ratified the American Convention on Human Rights, also known as the Pact of San José, which </w:t>
      </w:r>
      <w:r>
        <w:rPr>
          <w:rFonts w:asciiTheme="majorHAnsi" w:hAnsiTheme="majorHAnsi" w:cstheme="majorHAnsi"/>
          <w:lang w:val="en"/>
        </w:rPr>
        <w:t xml:space="preserve">makes </w:t>
      </w:r>
      <w:r w:rsidRPr="00D60E49">
        <w:rPr>
          <w:rFonts w:asciiTheme="majorHAnsi" w:hAnsiTheme="majorHAnsi" w:cstheme="majorHAnsi"/>
          <w:lang w:val="en"/>
        </w:rPr>
        <w:t>them participants in the Inter-American Human Rights System. Countries that have ratified this</w:t>
      </w:r>
      <w:r>
        <w:rPr>
          <w:rFonts w:asciiTheme="majorHAnsi" w:hAnsiTheme="majorHAnsi" w:cstheme="majorHAnsi"/>
          <w:lang w:val="en"/>
        </w:rPr>
        <w:t xml:space="preserve"> human rights</w:t>
      </w:r>
      <w:r w:rsidRPr="00D60E49">
        <w:rPr>
          <w:rFonts w:asciiTheme="majorHAnsi" w:hAnsiTheme="majorHAnsi" w:cstheme="majorHAnsi"/>
          <w:lang w:val="en"/>
        </w:rPr>
        <w:t xml:space="preserve"> convention are listed on the website of the Organization of American States</w:t>
      </w:r>
      <w:r w:rsidR="0048585D">
        <w:rPr>
          <w:rStyle w:val="FootnoteReference"/>
          <w:rFonts w:asciiTheme="majorHAnsi" w:hAnsiTheme="majorHAnsi" w:cstheme="majorHAnsi"/>
          <w:lang w:val="en"/>
        </w:rPr>
        <w:footnoteReference w:id="3"/>
      </w:r>
      <w:r>
        <w:rPr>
          <w:rFonts w:asciiTheme="majorHAnsi" w:hAnsiTheme="majorHAnsi" w:cstheme="majorHAnsi"/>
          <w:lang w:val="en"/>
        </w:rPr>
        <w:t xml:space="preserve">: </w:t>
      </w:r>
      <w:hyperlink r:id="rId9" w:history="1">
        <w:r w:rsidRPr="009E35BE">
          <w:rPr>
            <w:rStyle w:val="Hyperlink"/>
            <w:rFonts w:asciiTheme="majorHAnsi" w:hAnsiTheme="majorHAnsi" w:cstheme="majorHAnsi"/>
            <w:lang w:val="en"/>
          </w:rPr>
          <w:t>http://www.cidh.oas.org/basicos/Spanish/basicos2a.htm</w:t>
        </w:r>
      </w:hyperlink>
    </w:p>
    <w:p w14:paraId="2FDEADAA" w14:textId="77777777" w:rsidR="00405B7A" w:rsidRDefault="00405B7A">
      <w:pPr>
        <w:rPr>
          <w:rFonts w:asciiTheme="majorHAnsi" w:hAnsiTheme="majorHAnsi" w:cstheme="majorHAnsi"/>
          <w:lang w:val="en"/>
        </w:rPr>
      </w:pPr>
    </w:p>
    <w:p w14:paraId="6505FFDC" w14:textId="77777777" w:rsidR="009E35BE" w:rsidRPr="00733961" w:rsidRDefault="009E35BE" w:rsidP="009E35BE">
      <w:pPr>
        <w:spacing w:line="360" w:lineRule="auto"/>
        <w:rPr>
          <w:sz w:val="18"/>
          <w:szCs w:val="18"/>
        </w:rPr>
      </w:pPr>
      <w:r>
        <w:rPr>
          <w:b/>
          <w:bCs/>
          <w:lang w:val="en"/>
        </w:rPr>
        <w:t>United Nations Declaration on the Rights of Indigenous Peoples</w:t>
      </w:r>
    </w:p>
    <w:p w14:paraId="57402EB1" w14:textId="77777777" w:rsidR="009E35BE" w:rsidRPr="00D60E49" w:rsidRDefault="009E35BE" w:rsidP="009E35BE">
      <w:pPr>
        <w:pStyle w:val="paragraph"/>
        <w:spacing w:before="0" w:beforeAutospacing="0" w:after="0" w:afterAutospacing="0"/>
        <w:textAlignment w:val="baseline"/>
        <w:rPr>
          <w:rFonts w:asciiTheme="majorHAnsi" w:hAnsiTheme="majorHAnsi" w:cstheme="majorHAnsi"/>
        </w:rPr>
      </w:pPr>
      <w:r w:rsidRPr="00D60E49">
        <w:rPr>
          <w:rStyle w:val="normaltextrun"/>
          <w:rFonts w:asciiTheme="majorHAnsi" w:hAnsiTheme="majorHAnsi" w:cstheme="majorHAnsi"/>
          <w:lang w:val="en"/>
        </w:rPr>
        <w:t xml:space="preserve">Most countries in the world voted for the United Nations Declaration on the Rights of Indigenous Peoples (2007), which received support from over 140 countries.  </w:t>
      </w:r>
      <w:hyperlink r:id="rId10" w:tgtFrame="_blank" w:history="1">
        <w:r w:rsidRPr="00D60E49">
          <w:rPr>
            <w:rStyle w:val="normaltextrun"/>
            <w:rFonts w:asciiTheme="majorHAnsi" w:hAnsiTheme="majorHAnsi" w:cstheme="majorHAnsi"/>
            <w:color w:val="0563C1"/>
            <w:u w:val="single"/>
            <w:lang w:val="en"/>
          </w:rPr>
          <w:t>https://www.ohchr.org/sites/default/files/UNDRIPManualForNHRIs_SP.pdf</w:t>
        </w:r>
      </w:hyperlink>
      <w:r w:rsidRPr="00D60E49">
        <w:rPr>
          <w:rStyle w:val="eop"/>
          <w:rFonts w:asciiTheme="majorHAnsi" w:hAnsiTheme="majorHAnsi" w:cstheme="majorHAnsi"/>
        </w:rPr>
        <w:t> </w:t>
      </w:r>
    </w:p>
    <w:p w14:paraId="544C3229" w14:textId="77777777" w:rsidR="009E35BE" w:rsidRPr="00D60E49" w:rsidRDefault="009E35BE" w:rsidP="009E35BE">
      <w:pPr>
        <w:pStyle w:val="paragraph"/>
        <w:spacing w:before="0" w:beforeAutospacing="0" w:after="0" w:afterAutospacing="0"/>
        <w:textAlignment w:val="baseline"/>
        <w:rPr>
          <w:rStyle w:val="normaltextrun"/>
          <w:rFonts w:asciiTheme="majorHAnsi" w:hAnsiTheme="majorHAnsi" w:cstheme="majorHAnsi"/>
          <w:lang w:val="en"/>
        </w:rPr>
      </w:pPr>
    </w:p>
    <w:p w14:paraId="0A2D4463" w14:textId="77777777" w:rsidR="009E35BE" w:rsidRPr="00D60E49" w:rsidRDefault="009E35BE" w:rsidP="009E35BE">
      <w:pPr>
        <w:pStyle w:val="paragraph"/>
        <w:spacing w:before="0" w:beforeAutospacing="0" w:after="0" w:afterAutospacing="0"/>
        <w:textAlignment w:val="baseline"/>
        <w:rPr>
          <w:rStyle w:val="eop"/>
          <w:rFonts w:asciiTheme="majorHAnsi" w:hAnsiTheme="majorHAnsi" w:cstheme="majorHAnsi"/>
        </w:rPr>
      </w:pPr>
      <w:r w:rsidRPr="00D60E49">
        <w:rPr>
          <w:rStyle w:val="normaltextrun"/>
          <w:rFonts w:asciiTheme="majorHAnsi" w:hAnsiTheme="majorHAnsi" w:cstheme="majorHAnsi"/>
          <w:lang w:val="en"/>
        </w:rPr>
        <w:t>It is important to note that Article 34 of the Convention establishes a rule or 'principle of flexibility' according to which</w:t>
      </w:r>
      <w:r w:rsidRPr="00D60E49">
        <w:rPr>
          <w:rStyle w:val="eop"/>
          <w:rFonts w:asciiTheme="majorHAnsi" w:hAnsiTheme="majorHAnsi" w:cstheme="majorHAnsi"/>
        </w:rPr>
        <w:t> </w:t>
      </w:r>
    </w:p>
    <w:p w14:paraId="05A53640" w14:textId="77777777" w:rsidR="009E35BE" w:rsidRPr="00D60E49" w:rsidRDefault="009E35BE" w:rsidP="009E35BE">
      <w:pPr>
        <w:pStyle w:val="paragraph"/>
        <w:spacing w:before="0" w:beforeAutospacing="0" w:after="0" w:afterAutospacing="0"/>
        <w:textAlignment w:val="baseline"/>
        <w:rPr>
          <w:rFonts w:asciiTheme="majorHAnsi" w:hAnsiTheme="majorHAnsi" w:cstheme="majorHAnsi"/>
        </w:rPr>
      </w:pPr>
    </w:p>
    <w:p w14:paraId="2E1EF624" w14:textId="77777777" w:rsidR="009E35BE" w:rsidRPr="00405B7A" w:rsidRDefault="009E35BE" w:rsidP="009E35BE">
      <w:pPr>
        <w:pStyle w:val="paragraph"/>
        <w:spacing w:before="0" w:beforeAutospacing="0" w:after="0" w:afterAutospacing="0"/>
        <w:ind w:left="720" w:right="720"/>
        <w:textAlignment w:val="baseline"/>
        <w:rPr>
          <w:rStyle w:val="eop"/>
          <w:rFonts w:asciiTheme="majorHAnsi" w:hAnsiTheme="majorHAnsi" w:cstheme="majorHAnsi"/>
        </w:rPr>
      </w:pPr>
      <w:r w:rsidRPr="00405B7A">
        <w:rPr>
          <w:rStyle w:val="normaltextrun"/>
          <w:rFonts w:asciiTheme="majorHAnsi" w:hAnsiTheme="majorHAnsi" w:cstheme="majorHAnsi"/>
          <w:lang w:val="en"/>
        </w:rPr>
        <w:t>"The nature and scope of the measures to be taken to give effect to this Convention shall be determined in a flexible manner, having regard to the conditions characteristic of each country..."  </w:t>
      </w:r>
      <w:r w:rsidRPr="00405B7A">
        <w:rPr>
          <w:rStyle w:val="eop"/>
          <w:rFonts w:asciiTheme="majorHAnsi" w:hAnsiTheme="majorHAnsi" w:cstheme="majorHAnsi"/>
        </w:rPr>
        <w:t> </w:t>
      </w:r>
    </w:p>
    <w:p w14:paraId="74D58217" w14:textId="77777777" w:rsidR="009E35BE" w:rsidRPr="00D60E49" w:rsidRDefault="009E35BE" w:rsidP="009E35BE">
      <w:pPr>
        <w:pStyle w:val="paragraph"/>
        <w:spacing w:before="0" w:beforeAutospacing="0" w:after="0" w:afterAutospacing="0"/>
        <w:ind w:left="720" w:right="720"/>
        <w:textAlignment w:val="baseline"/>
        <w:rPr>
          <w:rFonts w:asciiTheme="majorHAnsi" w:hAnsiTheme="majorHAnsi" w:cstheme="majorHAnsi"/>
          <w:sz w:val="22"/>
          <w:szCs w:val="22"/>
        </w:rPr>
      </w:pPr>
    </w:p>
    <w:p w14:paraId="3DECA358" w14:textId="77777777" w:rsidR="009E35BE" w:rsidRPr="00D60E49" w:rsidRDefault="009E35BE" w:rsidP="009E35BE">
      <w:pPr>
        <w:pStyle w:val="paragraph"/>
        <w:spacing w:before="0" w:beforeAutospacing="0" w:after="0" w:afterAutospacing="0"/>
        <w:textAlignment w:val="baseline"/>
        <w:rPr>
          <w:rStyle w:val="eop"/>
          <w:rFonts w:asciiTheme="majorHAnsi" w:hAnsiTheme="majorHAnsi" w:cstheme="majorHAnsi"/>
        </w:rPr>
      </w:pPr>
      <w:r w:rsidRPr="00D60E49">
        <w:rPr>
          <w:rStyle w:val="normaltextrun"/>
          <w:rFonts w:asciiTheme="majorHAnsi" w:hAnsiTheme="majorHAnsi" w:cstheme="majorHAnsi"/>
          <w:lang w:val="en"/>
        </w:rPr>
        <w:t>The observance of this rule or principle in no case is supposed</w:t>
      </w:r>
      <w:r w:rsidRPr="00D60E49">
        <w:rPr>
          <w:rStyle w:val="normaltextrun"/>
          <w:rFonts w:asciiTheme="majorHAnsi" w:hAnsiTheme="majorHAnsi" w:cstheme="majorHAnsi"/>
          <w:strike/>
          <w:color w:val="D13438"/>
          <w:lang w:val="en"/>
        </w:rPr>
        <w:t xml:space="preserve"> </w:t>
      </w:r>
      <w:r w:rsidRPr="00D60E49">
        <w:rPr>
          <w:rStyle w:val="normaltextrun"/>
          <w:rFonts w:asciiTheme="majorHAnsi" w:hAnsiTheme="majorHAnsi" w:cstheme="majorHAnsi"/>
          <w:lang w:val="en"/>
        </w:rPr>
        <w:t>to affect the essence of the rights of indigenous and tribal peoples as enshrined in the Convention.</w:t>
      </w:r>
      <w:r w:rsidRPr="00D60E49">
        <w:rPr>
          <w:rStyle w:val="eop"/>
          <w:rFonts w:asciiTheme="majorHAnsi" w:hAnsiTheme="majorHAnsi" w:cstheme="majorHAnsi"/>
        </w:rPr>
        <w:t> </w:t>
      </w:r>
    </w:p>
    <w:p w14:paraId="3A432B87" w14:textId="77777777" w:rsidR="009E35BE" w:rsidRPr="00D60E49" w:rsidRDefault="009E35BE" w:rsidP="009E35BE">
      <w:pPr>
        <w:pStyle w:val="paragraph"/>
        <w:spacing w:before="0" w:beforeAutospacing="0" w:after="0" w:afterAutospacing="0"/>
        <w:textAlignment w:val="baseline"/>
        <w:rPr>
          <w:rFonts w:asciiTheme="majorHAnsi" w:hAnsiTheme="majorHAnsi" w:cstheme="majorHAnsi"/>
        </w:rPr>
      </w:pPr>
    </w:p>
    <w:p w14:paraId="2F5DE284" w14:textId="4B947D3D" w:rsidR="00405B7A" w:rsidRPr="00405B7A" w:rsidRDefault="009E35BE" w:rsidP="00405B7A">
      <w:pPr>
        <w:pStyle w:val="paragraph"/>
        <w:spacing w:before="0" w:beforeAutospacing="0" w:after="0" w:afterAutospacing="0"/>
        <w:textAlignment w:val="baseline"/>
        <w:rPr>
          <w:rFonts w:asciiTheme="majorHAnsi" w:hAnsiTheme="majorHAnsi" w:cstheme="majorHAnsi"/>
        </w:rPr>
      </w:pPr>
      <w:r w:rsidRPr="00D60E49">
        <w:rPr>
          <w:rStyle w:val="normaltextrun"/>
          <w:rFonts w:asciiTheme="majorHAnsi" w:hAnsiTheme="majorHAnsi" w:cstheme="majorHAnsi"/>
          <w:lang w:val="en"/>
        </w:rPr>
        <w:t>We highlight the Convention and the Inter-American Court of Human Rights decisions because they are relevant to the development of a body of principles of consultation for the previous C169</w:t>
      </w:r>
      <w:r>
        <w:rPr>
          <w:rStyle w:val="normaltextrun"/>
          <w:rFonts w:asciiTheme="majorHAnsi" w:hAnsiTheme="majorHAnsi" w:cstheme="majorHAnsi"/>
          <w:lang w:val="en"/>
        </w:rPr>
        <w:t xml:space="preserve">. </w:t>
      </w:r>
      <w:r w:rsidRPr="00D60E49">
        <w:rPr>
          <w:rStyle w:val="normaltextrun"/>
          <w:rFonts w:asciiTheme="majorHAnsi" w:hAnsiTheme="majorHAnsi" w:cstheme="majorHAnsi"/>
          <w:lang w:val="en"/>
        </w:rPr>
        <w:t> </w:t>
      </w:r>
      <w:r w:rsidRPr="00D60E49">
        <w:rPr>
          <w:rStyle w:val="eop"/>
          <w:rFonts w:asciiTheme="majorHAnsi" w:hAnsiTheme="majorHAnsi" w:cstheme="majorHAnsi"/>
        </w:rPr>
        <w:t> </w:t>
      </w:r>
    </w:p>
    <w:p w14:paraId="108275E5" w14:textId="22CA3AD3" w:rsidR="00962D78" w:rsidRDefault="00962D78"/>
    <w:p w14:paraId="433F6CE5" w14:textId="77777777" w:rsidR="00405B7A" w:rsidRDefault="00405B7A"/>
    <w:p w14:paraId="2F53ECFE" w14:textId="41B7A01E" w:rsidR="00405B7A" w:rsidRDefault="009E35BE" w:rsidP="00405B7A">
      <w:pPr>
        <w:jc w:val="center"/>
        <w:rPr>
          <w:b/>
          <w:bCs/>
          <w:lang w:val="en"/>
        </w:rPr>
      </w:pPr>
      <w:r>
        <w:rPr>
          <w:b/>
          <w:bCs/>
          <w:lang w:val="en"/>
        </w:rPr>
        <w:t>TWELVE PRINCIPLES</w:t>
      </w:r>
    </w:p>
    <w:p w14:paraId="575E7B16" w14:textId="682E0A91" w:rsidR="009E35BE" w:rsidRDefault="009E35BE"/>
    <w:p w14:paraId="59DF643A" w14:textId="77777777" w:rsidR="009E35BE" w:rsidRPr="003B2F0F" w:rsidRDefault="009E35BE" w:rsidP="009E35BE">
      <w:pPr>
        <w:rPr>
          <w:rFonts w:cstheme="minorHAnsi"/>
          <w:b/>
          <w:bCs/>
        </w:rPr>
      </w:pPr>
      <w:r w:rsidRPr="003B2F0F">
        <w:rPr>
          <w:rFonts w:cstheme="minorHAnsi"/>
          <w:b/>
          <w:bCs/>
          <w:lang w:val="en"/>
        </w:rPr>
        <w:t>PRINCIPLE 1</w:t>
      </w:r>
    </w:p>
    <w:p w14:paraId="6A14DA1D" w14:textId="77777777" w:rsidR="009E35BE" w:rsidRPr="003B2F0F" w:rsidRDefault="009E35BE" w:rsidP="009E35BE">
      <w:pPr>
        <w:spacing w:line="360" w:lineRule="auto"/>
        <w:rPr>
          <w:rFonts w:cstheme="minorHAnsi"/>
          <w:b/>
          <w:bCs/>
          <w:lang w:val="pt-BR"/>
        </w:rPr>
      </w:pPr>
      <w:r w:rsidRPr="003B2F0F">
        <w:rPr>
          <w:rFonts w:cstheme="minorHAnsi"/>
          <w:b/>
          <w:bCs/>
          <w:lang w:val="en"/>
        </w:rPr>
        <w:t>CONSULTATION APPLIES TO LEGISLATIVE OR ADMINISTRATIVE MEASURES</w:t>
      </w:r>
    </w:p>
    <w:p w14:paraId="495841C1" w14:textId="013AB412" w:rsidR="009E35BE" w:rsidRDefault="009E35BE">
      <w:pPr>
        <w:rPr>
          <w:rFonts w:asciiTheme="majorHAnsi" w:hAnsiTheme="majorHAnsi" w:cstheme="majorHAnsi"/>
          <w:lang w:val="en"/>
        </w:rPr>
      </w:pPr>
      <w:r w:rsidRPr="00D60E49">
        <w:rPr>
          <w:rFonts w:asciiTheme="majorHAnsi" w:hAnsiTheme="majorHAnsi" w:cstheme="majorHAnsi"/>
          <w:lang w:val="en"/>
        </w:rPr>
        <w:t>Article 6 No. 1 (a) of the Convention requires the Government to consult the peoples concerned (indigenous or tribal) whenever consideration is being given to legislative or administrative measures that may affect them directly</w:t>
      </w:r>
      <w:r>
        <w:rPr>
          <w:rFonts w:asciiTheme="majorHAnsi" w:hAnsiTheme="majorHAnsi" w:cstheme="majorHAnsi"/>
          <w:lang w:val="en"/>
        </w:rPr>
        <w:t>.</w:t>
      </w:r>
      <w:r w:rsidR="00090B2C">
        <w:rPr>
          <w:rStyle w:val="FootnoteReference"/>
          <w:rFonts w:asciiTheme="majorHAnsi" w:hAnsiTheme="majorHAnsi" w:cstheme="majorHAnsi"/>
          <w:lang w:val="en"/>
        </w:rPr>
        <w:footnoteReference w:id="4"/>
      </w:r>
    </w:p>
    <w:p w14:paraId="71983B1B" w14:textId="782074DD" w:rsidR="009E35BE" w:rsidRDefault="009E35BE">
      <w:pPr>
        <w:rPr>
          <w:rFonts w:asciiTheme="majorHAnsi" w:hAnsiTheme="majorHAnsi" w:cstheme="majorHAnsi"/>
          <w:lang w:val="en"/>
        </w:rPr>
      </w:pPr>
    </w:p>
    <w:p w14:paraId="25D84E24" w14:textId="79E4E904" w:rsidR="009E35BE" w:rsidRDefault="009E35BE" w:rsidP="009E35BE">
      <w:pPr>
        <w:rPr>
          <w:rFonts w:asciiTheme="majorHAnsi" w:hAnsiTheme="majorHAnsi" w:cstheme="majorHAnsi"/>
          <w:lang w:val="en"/>
        </w:rPr>
      </w:pPr>
      <w:r w:rsidRPr="00D60E49">
        <w:rPr>
          <w:rFonts w:asciiTheme="majorHAnsi" w:hAnsiTheme="majorHAnsi" w:cstheme="majorHAnsi"/>
          <w:lang w:val="en"/>
        </w:rPr>
        <w:t xml:space="preserve">Therefore, a government should not adopt legislation, regulations, or administrative measures that could directly affect indigenous or tribal peoples without prior consultation with the representative institutions of the affected peoples.  </w:t>
      </w:r>
    </w:p>
    <w:p w14:paraId="5DCC3AE8" w14:textId="77777777" w:rsidR="009E35BE" w:rsidRPr="00D60E49" w:rsidRDefault="009E35BE" w:rsidP="009E35BE">
      <w:pPr>
        <w:rPr>
          <w:rFonts w:asciiTheme="majorHAnsi" w:hAnsiTheme="majorHAnsi" w:cstheme="majorHAnsi"/>
          <w:lang w:val="en"/>
        </w:rPr>
      </w:pPr>
    </w:p>
    <w:p w14:paraId="57E88B4D" w14:textId="6BAAAC12" w:rsidR="00405B7A" w:rsidRDefault="009E35BE" w:rsidP="009E35BE">
      <w:pPr>
        <w:rPr>
          <w:rStyle w:val="normaltextrun"/>
          <w:rFonts w:asciiTheme="majorHAnsi" w:hAnsiTheme="majorHAnsi" w:cstheme="majorHAnsi"/>
          <w:color w:val="000000"/>
          <w:shd w:val="clear" w:color="auto" w:fill="FFFFFF"/>
          <w:lang w:val="en"/>
        </w:rPr>
      </w:pPr>
      <w:r w:rsidRPr="00D60E49">
        <w:rPr>
          <w:rStyle w:val="normaltextrun"/>
          <w:rFonts w:asciiTheme="majorHAnsi" w:hAnsiTheme="majorHAnsi" w:cstheme="majorHAnsi"/>
          <w:color w:val="000000"/>
          <w:shd w:val="clear" w:color="auto" w:fill="FFFFFF"/>
          <w:lang w:val="en"/>
        </w:rPr>
        <w:t>This form of consultation requires careful consideration. In the case of a specific development project in a particular location, it may be clear which indigenous nation needs to be consulted. In the case of a legal provision of national application, it may be hard to determine how to involve all indigenous interests in the country in a proper consultation process</w:t>
      </w:r>
      <w:r>
        <w:rPr>
          <w:rStyle w:val="normaltextrun"/>
          <w:rFonts w:asciiTheme="majorHAnsi" w:hAnsiTheme="majorHAnsi" w:cstheme="majorHAnsi"/>
          <w:color w:val="000000"/>
          <w:shd w:val="clear" w:color="auto" w:fill="FFFFFF"/>
          <w:lang w:val="en"/>
        </w:rPr>
        <w:t>, though that must be the objective</w:t>
      </w:r>
      <w:r w:rsidRPr="00D60E49">
        <w:rPr>
          <w:rStyle w:val="normaltextrun"/>
          <w:rFonts w:asciiTheme="majorHAnsi" w:hAnsiTheme="majorHAnsi" w:cstheme="majorHAnsi"/>
          <w:color w:val="000000"/>
          <w:shd w:val="clear" w:color="auto" w:fill="FFFFFF"/>
          <w:lang w:val="en"/>
        </w:rPr>
        <w:t>.</w:t>
      </w:r>
    </w:p>
    <w:p w14:paraId="0D983231" w14:textId="77777777" w:rsidR="00405B7A" w:rsidRDefault="00405B7A" w:rsidP="009E35BE">
      <w:pPr>
        <w:rPr>
          <w:rStyle w:val="normaltextrun"/>
          <w:rFonts w:asciiTheme="majorHAnsi" w:hAnsiTheme="majorHAnsi" w:cstheme="majorHAnsi"/>
          <w:color w:val="000000"/>
          <w:shd w:val="clear" w:color="auto" w:fill="FFFFFF"/>
          <w:lang w:val="en"/>
        </w:rPr>
      </w:pPr>
    </w:p>
    <w:p w14:paraId="77F294C0" w14:textId="1286CEA5" w:rsidR="0040462A" w:rsidRPr="00E15046" w:rsidRDefault="0040462A" w:rsidP="0040462A">
      <w:pPr>
        <w:rPr>
          <w:rFonts w:cstheme="minorHAnsi"/>
          <w:sz w:val="20"/>
          <w:szCs w:val="20"/>
        </w:rPr>
      </w:pPr>
      <w:r w:rsidRPr="00DA56ED">
        <w:rPr>
          <w:b/>
          <w:bCs/>
          <w:lang w:val="en"/>
        </w:rPr>
        <w:t>PRINCIPLE 2</w:t>
      </w:r>
    </w:p>
    <w:p w14:paraId="14D34D57" w14:textId="77777777" w:rsidR="00405B7A" w:rsidRDefault="0040462A" w:rsidP="00405B7A">
      <w:pPr>
        <w:spacing w:line="360" w:lineRule="auto"/>
        <w:rPr>
          <w:rFonts w:cs="Calibri"/>
          <w:b/>
          <w:bCs/>
        </w:rPr>
      </w:pPr>
      <w:r>
        <w:rPr>
          <w:b/>
          <w:bCs/>
          <w:lang w:val="en"/>
        </w:rPr>
        <w:t>SUSCEPTIBILITY TO DIRECT</w:t>
      </w:r>
      <w:r>
        <w:rPr>
          <w:lang w:val="en"/>
        </w:rPr>
        <w:t xml:space="preserve"> </w:t>
      </w:r>
      <w:r>
        <w:rPr>
          <w:b/>
          <w:bCs/>
          <w:lang w:val="en"/>
        </w:rPr>
        <w:t>IMPACT</w:t>
      </w:r>
    </w:p>
    <w:p w14:paraId="5C36B452" w14:textId="403A3A17" w:rsidR="0040462A" w:rsidRPr="00405B7A" w:rsidRDefault="0040462A" w:rsidP="00405B7A">
      <w:pPr>
        <w:rPr>
          <w:rFonts w:cs="Calibri"/>
          <w:b/>
          <w:bCs/>
        </w:rPr>
      </w:pPr>
      <w:r w:rsidRPr="00D60E49">
        <w:rPr>
          <w:rFonts w:asciiTheme="majorHAnsi" w:hAnsiTheme="majorHAnsi" w:cstheme="majorHAnsi"/>
          <w:lang w:val="en"/>
        </w:rPr>
        <w:lastRenderedPageBreak/>
        <w:t>There are several ways in which legislative or administrative measures may directly affect the rights, priorities, or interests of indigenous or tribal peoples. By way of example, the duty to consult may be required with respect to</w:t>
      </w:r>
      <w:r w:rsidR="00090B2C">
        <w:rPr>
          <w:rFonts w:asciiTheme="majorHAnsi" w:hAnsiTheme="majorHAnsi" w:cstheme="majorHAnsi"/>
          <w:lang w:val="en"/>
        </w:rPr>
        <w:t>:</w:t>
      </w:r>
      <w:r w:rsidR="00090B2C">
        <w:rPr>
          <w:rStyle w:val="FootnoteReference"/>
          <w:rFonts w:asciiTheme="majorHAnsi" w:hAnsiTheme="majorHAnsi" w:cstheme="majorHAnsi"/>
          <w:lang w:val="en"/>
        </w:rPr>
        <w:footnoteReference w:id="5"/>
      </w:r>
    </w:p>
    <w:p w14:paraId="39B08442" w14:textId="77777777" w:rsidR="0040462A" w:rsidRPr="00D60E49" w:rsidRDefault="0040462A" w:rsidP="0040462A">
      <w:pPr>
        <w:rPr>
          <w:rFonts w:asciiTheme="majorHAnsi" w:hAnsiTheme="majorHAnsi" w:cstheme="majorHAnsi"/>
          <w:lang w:val="en"/>
        </w:rPr>
      </w:pPr>
    </w:p>
    <w:p w14:paraId="43CEA2FB" w14:textId="77777777" w:rsidR="0040462A" w:rsidRPr="00D60E49" w:rsidRDefault="0040462A" w:rsidP="0040462A">
      <w:pPr>
        <w:rPr>
          <w:rFonts w:asciiTheme="majorHAnsi" w:hAnsiTheme="majorHAnsi" w:cstheme="majorHAnsi"/>
          <w:lang w:val="en"/>
        </w:rPr>
      </w:pPr>
      <w:r w:rsidRPr="00D60E49">
        <w:rPr>
          <w:rFonts w:asciiTheme="majorHAnsi" w:hAnsiTheme="majorHAnsi" w:cstheme="majorHAnsi"/>
          <w:lang w:val="en"/>
        </w:rPr>
        <w:t xml:space="preserve">- </w:t>
      </w:r>
      <w:r w:rsidRPr="00D60E49">
        <w:rPr>
          <w:rFonts w:asciiTheme="majorHAnsi" w:hAnsiTheme="majorHAnsi" w:cstheme="majorHAnsi"/>
          <w:lang w:val="en"/>
        </w:rPr>
        <w:tab/>
        <w:t xml:space="preserve">Administrative decisions on projects that can be developed on lands or territories </w:t>
      </w:r>
      <w:r w:rsidRPr="00D60E49">
        <w:rPr>
          <w:rFonts w:asciiTheme="majorHAnsi" w:hAnsiTheme="majorHAnsi" w:cstheme="majorHAnsi"/>
          <w:lang w:val="en"/>
        </w:rPr>
        <w:tab/>
      </w:r>
      <w:r w:rsidRPr="00D60E49">
        <w:rPr>
          <w:rFonts w:asciiTheme="majorHAnsi" w:hAnsiTheme="majorHAnsi" w:cstheme="majorHAnsi"/>
          <w:lang w:val="en"/>
        </w:rPr>
        <w:tab/>
        <w:t>recognized as belonging to indigenous or tribal peoples.</w:t>
      </w:r>
    </w:p>
    <w:p w14:paraId="694F4A34" w14:textId="77777777" w:rsidR="0040462A" w:rsidRPr="00D60E49" w:rsidRDefault="0040462A" w:rsidP="0040462A">
      <w:pPr>
        <w:rPr>
          <w:rFonts w:asciiTheme="majorHAnsi" w:hAnsiTheme="majorHAnsi" w:cstheme="majorHAnsi"/>
          <w:lang w:val="en"/>
        </w:rPr>
      </w:pPr>
    </w:p>
    <w:p w14:paraId="21DE909F" w14:textId="77777777" w:rsidR="0040462A" w:rsidRPr="00D60E49" w:rsidRDefault="0040462A" w:rsidP="0040462A">
      <w:pPr>
        <w:rPr>
          <w:rFonts w:asciiTheme="majorHAnsi" w:hAnsiTheme="majorHAnsi" w:cstheme="majorHAnsi"/>
          <w:lang w:val="en"/>
        </w:rPr>
      </w:pPr>
      <w:r w:rsidRPr="00D60E49">
        <w:rPr>
          <w:rFonts w:asciiTheme="majorHAnsi" w:hAnsiTheme="majorHAnsi" w:cstheme="majorHAnsi"/>
          <w:lang w:val="en"/>
        </w:rPr>
        <w:t xml:space="preserve">-            Decisions </w:t>
      </w:r>
      <w:r>
        <w:rPr>
          <w:rFonts w:asciiTheme="majorHAnsi" w:hAnsiTheme="majorHAnsi" w:cstheme="majorHAnsi"/>
          <w:lang w:val="en"/>
        </w:rPr>
        <w:t>on</w:t>
      </w:r>
      <w:r w:rsidRPr="00D60E49">
        <w:rPr>
          <w:rFonts w:asciiTheme="majorHAnsi" w:hAnsiTheme="majorHAnsi" w:cstheme="majorHAnsi"/>
          <w:lang w:val="en"/>
        </w:rPr>
        <w:t xml:space="preserve"> activities affecting lands or territories which, although not officially </w:t>
      </w:r>
      <w:r w:rsidRPr="00D60E49">
        <w:rPr>
          <w:rFonts w:asciiTheme="majorHAnsi" w:hAnsiTheme="majorHAnsi" w:cstheme="majorHAnsi"/>
          <w:lang w:val="en"/>
        </w:rPr>
        <w:tab/>
        <w:t>recognized as belonging to indigenous or tribal communities, are disputed, claimed</w:t>
      </w:r>
      <w:r>
        <w:rPr>
          <w:rFonts w:asciiTheme="majorHAnsi" w:hAnsiTheme="majorHAnsi" w:cstheme="majorHAnsi"/>
          <w:lang w:val="en"/>
        </w:rPr>
        <w:t xml:space="preserve"> by</w:t>
      </w:r>
      <w:r w:rsidRPr="00D60E49">
        <w:rPr>
          <w:rFonts w:asciiTheme="majorHAnsi" w:hAnsiTheme="majorHAnsi" w:cstheme="majorHAnsi"/>
          <w:lang w:val="en"/>
        </w:rPr>
        <w:t xml:space="preserve">, or </w:t>
      </w:r>
      <w:r w:rsidRPr="00D60E49">
        <w:rPr>
          <w:rFonts w:asciiTheme="majorHAnsi" w:hAnsiTheme="majorHAnsi" w:cstheme="majorHAnsi"/>
          <w:lang w:val="en"/>
        </w:rPr>
        <w:tab/>
        <w:t xml:space="preserve">have important links to </w:t>
      </w:r>
      <w:proofErr w:type="gramStart"/>
      <w:r w:rsidRPr="00D60E49">
        <w:rPr>
          <w:rFonts w:asciiTheme="majorHAnsi" w:hAnsiTheme="majorHAnsi" w:cstheme="majorHAnsi"/>
          <w:lang w:val="en"/>
        </w:rPr>
        <w:t>particular communities</w:t>
      </w:r>
      <w:proofErr w:type="gramEnd"/>
      <w:r w:rsidRPr="00D60E49">
        <w:rPr>
          <w:rFonts w:asciiTheme="majorHAnsi" w:hAnsiTheme="majorHAnsi" w:cstheme="majorHAnsi"/>
          <w:lang w:val="en"/>
        </w:rPr>
        <w:t xml:space="preserve">. </w:t>
      </w:r>
    </w:p>
    <w:p w14:paraId="725EF488" w14:textId="77777777" w:rsidR="0040462A" w:rsidRPr="00D60E49" w:rsidRDefault="0040462A" w:rsidP="0040462A">
      <w:pPr>
        <w:rPr>
          <w:rFonts w:asciiTheme="majorHAnsi" w:hAnsiTheme="majorHAnsi" w:cstheme="majorHAnsi"/>
          <w:lang w:val="en"/>
        </w:rPr>
      </w:pPr>
    </w:p>
    <w:p w14:paraId="3FD7FE44" w14:textId="77777777" w:rsidR="0040462A" w:rsidRPr="00D60E49" w:rsidRDefault="0040462A" w:rsidP="0040462A">
      <w:pPr>
        <w:rPr>
          <w:rFonts w:asciiTheme="majorHAnsi" w:hAnsiTheme="majorHAnsi" w:cstheme="majorHAnsi"/>
          <w:lang w:val="en"/>
        </w:rPr>
      </w:pPr>
      <w:r w:rsidRPr="00D60E49">
        <w:rPr>
          <w:rFonts w:asciiTheme="majorHAnsi" w:hAnsiTheme="majorHAnsi" w:cstheme="majorHAnsi"/>
          <w:lang w:val="en"/>
        </w:rPr>
        <w:t>-            Decisions regarding projects that directly impact resources that are important to</w:t>
      </w:r>
      <w:r w:rsidRPr="00D60E49">
        <w:rPr>
          <w:rFonts w:asciiTheme="majorHAnsi" w:hAnsiTheme="majorHAnsi" w:cstheme="majorHAnsi"/>
          <w:lang w:val="en"/>
        </w:rPr>
        <w:tab/>
      </w:r>
      <w:r w:rsidRPr="00D60E49">
        <w:rPr>
          <w:rFonts w:asciiTheme="majorHAnsi" w:hAnsiTheme="majorHAnsi" w:cstheme="majorHAnsi"/>
          <w:lang w:val="en"/>
        </w:rPr>
        <w:tab/>
      </w:r>
      <w:r w:rsidRPr="00D60E49">
        <w:rPr>
          <w:rFonts w:asciiTheme="majorHAnsi" w:hAnsiTheme="majorHAnsi" w:cstheme="majorHAnsi"/>
          <w:lang w:val="en"/>
        </w:rPr>
        <w:tab/>
        <w:t xml:space="preserve"> indigenous or tribal communities, such as water, wildlife, vegetation, or resources of </w:t>
      </w:r>
      <w:r w:rsidRPr="00D60E49">
        <w:rPr>
          <w:rFonts w:asciiTheme="majorHAnsi" w:hAnsiTheme="majorHAnsi" w:cstheme="majorHAnsi"/>
          <w:lang w:val="en"/>
        </w:rPr>
        <w:tab/>
        <w:t>historical or traditional use.</w:t>
      </w:r>
    </w:p>
    <w:p w14:paraId="5C425017" w14:textId="77777777" w:rsidR="0040462A" w:rsidRPr="00D60E49" w:rsidRDefault="0040462A" w:rsidP="0040462A">
      <w:pPr>
        <w:rPr>
          <w:rFonts w:asciiTheme="majorHAnsi" w:hAnsiTheme="majorHAnsi" w:cstheme="majorHAnsi"/>
          <w:lang w:val="en"/>
        </w:rPr>
      </w:pPr>
    </w:p>
    <w:p w14:paraId="770776F1" w14:textId="30C29C0A" w:rsidR="0040462A" w:rsidRDefault="0040462A" w:rsidP="0040462A">
      <w:pPr>
        <w:rPr>
          <w:rFonts w:asciiTheme="majorHAnsi" w:hAnsiTheme="majorHAnsi" w:cstheme="majorHAnsi"/>
          <w:lang w:val="en"/>
        </w:rPr>
      </w:pPr>
      <w:r w:rsidRPr="00D60E49">
        <w:rPr>
          <w:rFonts w:asciiTheme="majorHAnsi" w:hAnsiTheme="majorHAnsi" w:cstheme="majorHAnsi"/>
          <w:lang w:val="en"/>
        </w:rPr>
        <w:t xml:space="preserve">-           Decisions regarding projects that impact sites of cultural or historical importance, sites </w:t>
      </w:r>
      <w:r w:rsidRPr="00D60E49">
        <w:rPr>
          <w:rFonts w:asciiTheme="majorHAnsi" w:hAnsiTheme="majorHAnsi" w:cstheme="majorHAnsi"/>
          <w:lang w:val="en"/>
        </w:rPr>
        <w:t xml:space="preserve">of </w:t>
      </w:r>
      <w:r w:rsidRPr="00D60E49">
        <w:rPr>
          <w:rFonts w:asciiTheme="majorHAnsi" w:hAnsiTheme="majorHAnsi" w:cstheme="majorHAnsi"/>
          <w:lang w:val="en"/>
        </w:rPr>
        <w:tab/>
      </w:r>
      <w:r w:rsidRPr="00D60E49">
        <w:rPr>
          <w:rFonts w:asciiTheme="majorHAnsi" w:hAnsiTheme="majorHAnsi" w:cstheme="majorHAnsi"/>
          <w:lang w:val="en"/>
        </w:rPr>
        <w:t>traditional use, ancestral tombs, etcetera.</w:t>
      </w:r>
    </w:p>
    <w:p w14:paraId="34E90300" w14:textId="77777777" w:rsidR="0040462A" w:rsidRDefault="0040462A" w:rsidP="0040462A">
      <w:pPr>
        <w:rPr>
          <w:rFonts w:asciiTheme="majorHAnsi" w:hAnsiTheme="majorHAnsi" w:cstheme="majorHAnsi"/>
          <w:lang w:val="en"/>
        </w:rPr>
      </w:pPr>
    </w:p>
    <w:p w14:paraId="3B0B0EFD" w14:textId="21A3FA63" w:rsidR="0040462A" w:rsidRPr="00D60E49" w:rsidRDefault="0040462A" w:rsidP="0040462A">
      <w:pPr>
        <w:rPr>
          <w:rFonts w:asciiTheme="majorHAnsi" w:hAnsiTheme="majorHAnsi" w:cstheme="majorHAnsi"/>
          <w:lang w:val="en"/>
        </w:rPr>
      </w:pPr>
      <w:r w:rsidRPr="00D60E49">
        <w:rPr>
          <w:rFonts w:asciiTheme="majorHAnsi" w:hAnsiTheme="majorHAnsi" w:cstheme="majorHAnsi"/>
          <w:lang w:val="en"/>
        </w:rPr>
        <w:t>-            Decisions regarding activities that may directly impact indigenous peoples themselves,</w:t>
      </w:r>
      <w:r w:rsidRPr="00D60E49">
        <w:rPr>
          <w:rFonts w:asciiTheme="majorHAnsi" w:hAnsiTheme="majorHAnsi" w:cstheme="majorHAnsi"/>
          <w:lang w:val="en"/>
        </w:rPr>
        <w:tab/>
      </w:r>
      <w:r w:rsidRPr="00D60E49">
        <w:rPr>
          <w:rFonts w:asciiTheme="majorHAnsi" w:hAnsiTheme="majorHAnsi" w:cstheme="majorHAnsi"/>
          <w:lang w:val="en"/>
        </w:rPr>
        <w:tab/>
        <w:t xml:space="preserve">such as matters related to health, education, use of traditional languages, or </w:t>
      </w:r>
      <w:r w:rsidRPr="00D60E49">
        <w:rPr>
          <w:rFonts w:asciiTheme="majorHAnsi" w:hAnsiTheme="majorHAnsi" w:cstheme="majorHAnsi"/>
          <w:lang w:val="en"/>
        </w:rPr>
        <w:tab/>
        <w:t>maintenance of culture</w:t>
      </w:r>
      <w:r>
        <w:rPr>
          <w:rFonts w:asciiTheme="majorHAnsi" w:hAnsiTheme="majorHAnsi" w:cstheme="majorHAnsi"/>
          <w:lang w:val="en"/>
        </w:rPr>
        <w:t>.</w:t>
      </w:r>
      <w:r w:rsidR="00090B2C">
        <w:rPr>
          <w:rStyle w:val="FootnoteReference"/>
          <w:rFonts w:asciiTheme="majorHAnsi" w:hAnsiTheme="majorHAnsi" w:cstheme="majorHAnsi"/>
          <w:lang w:val="en"/>
        </w:rPr>
        <w:footnoteReference w:id="6"/>
      </w:r>
    </w:p>
    <w:p w14:paraId="1C5B5C59" w14:textId="77777777" w:rsidR="0040462A" w:rsidRPr="00D60E49" w:rsidRDefault="0040462A" w:rsidP="009E35BE">
      <w:pPr>
        <w:rPr>
          <w:rFonts w:asciiTheme="majorHAnsi" w:hAnsiTheme="majorHAnsi" w:cstheme="majorHAnsi"/>
          <w:b/>
          <w:bCs/>
        </w:rPr>
      </w:pPr>
    </w:p>
    <w:p w14:paraId="7CA9B24E" w14:textId="77777777" w:rsidR="0040462A" w:rsidRPr="00D60E49" w:rsidRDefault="0040462A" w:rsidP="0040462A">
      <w:pPr>
        <w:rPr>
          <w:rFonts w:asciiTheme="majorHAnsi" w:hAnsiTheme="majorHAnsi" w:cstheme="majorHAnsi"/>
          <w:lang w:val="en"/>
        </w:rPr>
      </w:pPr>
      <w:r w:rsidRPr="00D60E49">
        <w:rPr>
          <w:rFonts w:asciiTheme="majorHAnsi" w:hAnsiTheme="majorHAnsi" w:cstheme="majorHAnsi"/>
          <w:lang w:val="en"/>
        </w:rPr>
        <w:t>There must be flexibility in the application of consultation depending on the impact generated by the respective measure.</w:t>
      </w:r>
    </w:p>
    <w:p w14:paraId="10303E72" w14:textId="0B0FCD47" w:rsidR="009E35BE" w:rsidRDefault="009E35BE"/>
    <w:p w14:paraId="34319047" w14:textId="77777777" w:rsidR="0040462A" w:rsidRPr="00E15046" w:rsidRDefault="0040462A" w:rsidP="0040462A">
      <w:pPr>
        <w:rPr>
          <w:sz w:val="18"/>
          <w:szCs w:val="18"/>
        </w:rPr>
      </w:pPr>
      <w:r w:rsidRPr="002744A5">
        <w:rPr>
          <w:b/>
          <w:bCs/>
          <w:lang w:val="en"/>
        </w:rPr>
        <w:t>PRINCIPLE 3</w:t>
      </w:r>
    </w:p>
    <w:p w14:paraId="6C78BBF2" w14:textId="77777777" w:rsidR="0040462A" w:rsidRPr="00AE3F9B" w:rsidRDefault="0040462A" w:rsidP="0040462A">
      <w:pPr>
        <w:spacing w:line="360" w:lineRule="auto"/>
        <w:rPr>
          <w:rFonts w:cs="Calibri"/>
          <w:b/>
          <w:bCs/>
        </w:rPr>
      </w:pPr>
      <w:r w:rsidRPr="00D46482">
        <w:rPr>
          <w:b/>
          <w:bCs/>
          <w:lang w:val="en"/>
        </w:rPr>
        <w:t>IDENTIFICATION OF INDIGENOUS OR TRIBAL PEOPLES TO WHOM THE CONVENTION</w:t>
      </w:r>
      <w:r>
        <w:rPr>
          <w:lang w:val="en"/>
        </w:rPr>
        <w:t xml:space="preserve"> </w:t>
      </w:r>
      <w:r>
        <w:rPr>
          <w:b/>
          <w:bCs/>
          <w:lang w:val="en"/>
        </w:rPr>
        <w:t>APPLIES</w:t>
      </w:r>
    </w:p>
    <w:p w14:paraId="033F6675" w14:textId="08279509" w:rsidR="0040462A" w:rsidRDefault="0040462A" w:rsidP="0040462A">
      <w:pPr>
        <w:rPr>
          <w:rStyle w:val="markedcontent"/>
          <w:rFonts w:asciiTheme="majorHAnsi" w:hAnsiTheme="majorHAnsi" w:cstheme="majorHAnsi"/>
          <w:lang w:val="en"/>
        </w:rPr>
      </w:pPr>
      <w:r w:rsidRPr="00D60E49">
        <w:rPr>
          <w:rStyle w:val="markedcontent"/>
          <w:rFonts w:asciiTheme="majorHAnsi" w:hAnsiTheme="majorHAnsi" w:cstheme="majorHAnsi"/>
          <w:lang w:val="en"/>
        </w:rPr>
        <w:t xml:space="preserve">Tribal peoples are </w:t>
      </w:r>
      <w:proofErr w:type="gramStart"/>
      <w:r w:rsidRPr="00D60E49">
        <w:rPr>
          <w:rStyle w:val="markedcontent"/>
          <w:rFonts w:asciiTheme="majorHAnsi" w:hAnsiTheme="majorHAnsi" w:cstheme="majorHAnsi"/>
          <w:lang w:val="en"/>
        </w:rPr>
        <w:t>groups</w:t>
      </w:r>
      <w:proofErr w:type="gramEnd"/>
      <w:r w:rsidRPr="00D60E49">
        <w:rPr>
          <w:rStyle w:val="markedcontent"/>
          <w:rFonts w:asciiTheme="majorHAnsi" w:hAnsiTheme="majorHAnsi" w:cstheme="majorHAnsi"/>
          <w:lang w:val="en"/>
        </w:rPr>
        <w:t xml:space="preserve"> whose social, cultural, and economic conditions distinguish them from other sectors of the national community. Tribal peoples self-identify as members of their group</w:t>
      </w:r>
      <w:r w:rsidR="00090B2C">
        <w:rPr>
          <w:rStyle w:val="FootnoteReference"/>
          <w:rFonts w:asciiTheme="majorHAnsi" w:hAnsiTheme="majorHAnsi" w:cstheme="majorHAnsi"/>
          <w:lang w:val="en"/>
        </w:rPr>
        <w:footnoteReference w:id="7"/>
      </w:r>
      <w:r w:rsidR="00090B2C">
        <w:rPr>
          <w:rStyle w:val="markedcontent"/>
          <w:rFonts w:asciiTheme="majorHAnsi" w:hAnsiTheme="majorHAnsi" w:cstheme="majorHAnsi"/>
          <w:lang w:val="en"/>
        </w:rPr>
        <w:t xml:space="preserve"> </w:t>
      </w:r>
      <w:r w:rsidRPr="00D60E49">
        <w:rPr>
          <w:rStyle w:val="markedcontent"/>
          <w:rFonts w:asciiTheme="majorHAnsi" w:hAnsiTheme="majorHAnsi" w:cstheme="majorHAnsi"/>
          <w:lang w:val="en"/>
        </w:rPr>
        <w:t>and are governed wholly or partly by their customs, traditions, or special legislation.</w:t>
      </w:r>
    </w:p>
    <w:p w14:paraId="65220995" w14:textId="77777777" w:rsidR="0040462A" w:rsidRDefault="0040462A" w:rsidP="0040462A">
      <w:pPr>
        <w:rPr>
          <w:rStyle w:val="markedcontent"/>
          <w:rFonts w:asciiTheme="majorHAnsi" w:hAnsiTheme="majorHAnsi" w:cstheme="majorHAnsi"/>
          <w:lang w:val="en"/>
        </w:rPr>
      </w:pPr>
    </w:p>
    <w:p w14:paraId="7149978D" w14:textId="72AB9BBB" w:rsidR="0040462A" w:rsidRDefault="0040462A" w:rsidP="0040462A">
      <w:pPr>
        <w:rPr>
          <w:rStyle w:val="markedcontent"/>
          <w:rFonts w:asciiTheme="majorHAnsi" w:hAnsiTheme="majorHAnsi" w:cstheme="majorHAnsi"/>
          <w:lang w:val="en"/>
        </w:rPr>
      </w:pPr>
      <w:r w:rsidRPr="00D60E49">
        <w:rPr>
          <w:rStyle w:val="markedcontent"/>
          <w:rFonts w:asciiTheme="majorHAnsi" w:hAnsiTheme="majorHAnsi" w:cstheme="majorHAnsi"/>
          <w:lang w:val="en"/>
        </w:rPr>
        <w:t xml:space="preserve">Indigenous peoples are recognized as having descended from populations that inhabited the country or a geographic region to which the country belongs at the time of conquest or colonization, or prior to the establishment of present borders. Regardless of legal status, indigenous peoples retain their own social, economic, cultural, and political institutions, or parts of them, and are aware of their indigenous or tribal identity. </w:t>
      </w:r>
    </w:p>
    <w:p w14:paraId="3C82580F" w14:textId="6F790C7E" w:rsidR="0040462A" w:rsidRDefault="0040462A" w:rsidP="0040462A">
      <w:pPr>
        <w:rPr>
          <w:rStyle w:val="markedcontent"/>
          <w:rFonts w:asciiTheme="majorHAnsi" w:hAnsiTheme="majorHAnsi" w:cstheme="majorHAnsi"/>
          <w:lang w:val="en"/>
        </w:rPr>
      </w:pPr>
    </w:p>
    <w:p w14:paraId="11E11DD6" w14:textId="43937C69" w:rsidR="0040462A" w:rsidRDefault="0040462A" w:rsidP="0040462A">
      <w:pPr>
        <w:rPr>
          <w:rStyle w:val="markedcontent"/>
          <w:rFonts w:asciiTheme="majorHAnsi" w:hAnsiTheme="majorHAnsi" w:cstheme="majorHAnsi"/>
          <w:lang w:val="en"/>
        </w:rPr>
      </w:pPr>
      <w:r w:rsidRPr="00D60E49">
        <w:rPr>
          <w:rStyle w:val="markedcontent"/>
          <w:rFonts w:asciiTheme="majorHAnsi" w:hAnsiTheme="majorHAnsi" w:cstheme="majorHAnsi"/>
          <w:lang w:val="en"/>
        </w:rPr>
        <w:lastRenderedPageBreak/>
        <w:t>These should be considered fundamental criteria for determining the groups to which the provisions of the Convention apply</w:t>
      </w:r>
      <w:r>
        <w:rPr>
          <w:rStyle w:val="markedcontent"/>
          <w:rFonts w:asciiTheme="majorHAnsi" w:hAnsiTheme="majorHAnsi" w:cstheme="majorHAnsi"/>
          <w:lang w:val="en"/>
        </w:rPr>
        <w:t>.</w:t>
      </w:r>
      <w:r w:rsidR="00090B2C">
        <w:rPr>
          <w:rStyle w:val="FootnoteReference"/>
          <w:rFonts w:asciiTheme="majorHAnsi" w:hAnsiTheme="majorHAnsi" w:cstheme="majorHAnsi"/>
          <w:lang w:val="en"/>
        </w:rPr>
        <w:footnoteReference w:id="8"/>
      </w:r>
    </w:p>
    <w:p w14:paraId="53FAC899" w14:textId="56EE6E4C" w:rsidR="0040462A" w:rsidRDefault="0040462A" w:rsidP="0040462A">
      <w:pPr>
        <w:rPr>
          <w:rStyle w:val="markedcontent"/>
          <w:rFonts w:asciiTheme="majorHAnsi" w:hAnsiTheme="majorHAnsi" w:cstheme="majorHAnsi"/>
          <w:lang w:val="en"/>
        </w:rPr>
      </w:pPr>
    </w:p>
    <w:p w14:paraId="66C0904F" w14:textId="77777777" w:rsidR="0040462A" w:rsidRPr="00D60E49" w:rsidRDefault="0040462A" w:rsidP="0040462A">
      <w:pPr>
        <w:rPr>
          <w:rStyle w:val="markedcontent"/>
          <w:rFonts w:asciiTheme="majorHAnsi" w:hAnsiTheme="majorHAnsi" w:cstheme="majorHAnsi"/>
          <w:lang w:val="en"/>
        </w:rPr>
      </w:pPr>
      <w:r w:rsidRPr="00D60E49">
        <w:rPr>
          <w:rStyle w:val="markedcontent"/>
          <w:rFonts w:asciiTheme="majorHAnsi" w:hAnsiTheme="majorHAnsi" w:cstheme="majorHAnsi"/>
          <w:lang w:val="en"/>
        </w:rPr>
        <w:t>If a particular group qualifies as indigenous or tribal under these criteria, the State should not adopt definitions or other provisions that disregard their Indigenous or tribal identity and thus affect their right to consultation.</w:t>
      </w:r>
    </w:p>
    <w:p w14:paraId="140A35D9" w14:textId="2BF6836C" w:rsidR="0040462A" w:rsidRDefault="0040462A" w:rsidP="0040462A">
      <w:pPr>
        <w:rPr>
          <w:rStyle w:val="markedcontent"/>
          <w:rFonts w:asciiTheme="majorHAnsi" w:hAnsiTheme="majorHAnsi" w:cstheme="majorHAnsi"/>
          <w:lang w:val="en"/>
        </w:rPr>
      </w:pPr>
    </w:p>
    <w:p w14:paraId="7F75E147" w14:textId="77777777" w:rsidR="0040462A" w:rsidRPr="00AE3F9B" w:rsidRDefault="0040462A" w:rsidP="0040462A">
      <w:pPr>
        <w:rPr>
          <w:rStyle w:val="markedcontent"/>
          <w:rFonts w:cs="Calibri"/>
          <w:b/>
          <w:bCs/>
        </w:rPr>
      </w:pPr>
      <w:r>
        <w:rPr>
          <w:rStyle w:val="markedcontent"/>
          <w:b/>
          <w:bCs/>
          <w:lang w:val="en"/>
        </w:rPr>
        <w:t>PRINCIPLE 4</w:t>
      </w:r>
    </w:p>
    <w:p w14:paraId="2B1C8061" w14:textId="422459A0" w:rsidR="0040462A" w:rsidRPr="00AF6565" w:rsidRDefault="0040462A" w:rsidP="00AF6565">
      <w:pPr>
        <w:spacing w:line="360" w:lineRule="auto"/>
        <w:rPr>
          <w:rStyle w:val="markedcontent"/>
          <w:rFonts w:cs="Calibri"/>
          <w:b/>
          <w:bCs/>
        </w:rPr>
      </w:pPr>
      <w:r>
        <w:rPr>
          <w:rStyle w:val="markedcontent"/>
          <w:b/>
          <w:bCs/>
          <w:lang w:val="en"/>
        </w:rPr>
        <w:t>PURPOSE OF THE CONSULTATION</w:t>
      </w:r>
    </w:p>
    <w:p w14:paraId="3016F403" w14:textId="35A0AA4F" w:rsidR="0040462A" w:rsidRDefault="0040462A" w:rsidP="0040462A">
      <w:pPr>
        <w:rPr>
          <w:rFonts w:asciiTheme="majorHAnsi" w:hAnsiTheme="majorHAnsi" w:cstheme="majorHAnsi"/>
          <w:lang w:val="en"/>
        </w:rPr>
      </w:pPr>
      <w:r w:rsidRPr="00D60E49">
        <w:rPr>
          <w:rFonts w:asciiTheme="majorHAnsi" w:hAnsiTheme="majorHAnsi" w:cstheme="majorHAnsi"/>
          <w:lang w:val="en"/>
        </w:rPr>
        <w:t xml:space="preserve">Consultations should be conducted in good faith and should aim at reaching an </w:t>
      </w:r>
      <w:r w:rsidR="00090B2C" w:rsidRPr="00D60E49">
        <w:rPr>
          <w:rFonts w:asciiTheme="majorHAnsi" w:hAnsiTheme="majorHAnsi" w:cstheme="majorHAnsi"/>
          <w:lang w:val="en"/>
        </w:rPr>
        <w:t>agreement</w:t>
      </w:r>
      <w:r w:rsidR="00090B2C">
        <w:rPr>
          <w:rFonts w:asciiTheme="majorHAnsi" w:hAnsiTheme="majorHAnsi" w:cstheme="majorHAnsi"/>
          <w:lang w:val="en"/>
        </w:rPr>
        <w:t xml:space="preserve"> or</w:t>
      </w:r>
      <w:r w:rsidRPr="00D60E49">
        <w:rPr>
          <w:rFonts w:asciiTheme="majorHAnsi" w:hAnsiTheme="majorHAnsi" w:cstheme="majorHAnsi"/>
          <w:lang w:val="en"/>
        </w:rPr>
        <w:t xml:space="preserve"> obtaining the consent of the people concerned</w:t>
      </w:r>
      <w:r>
        <w:rPr>
          <w:rFonts w:asciiTheme="majorHAnsi" w:hAnsiTheme="majorHAnsi" w:cstheme="majorHAnsi"/>
          <w:lang w:val="en"/>
        </w:rPr>
        <w:t>.</w:t>
      </w:r>
      <w:r w:rsidR="00090B2C">
        <w:rPr>
          <w:rStyle w:val="FootnoteReference"/>
          <w:rFonts w:asciiTheme="majorHAnsi" w:hAnsiTheme="majorHAnsi" w:cstheme="majorHAnsi"/>
          <w:lang w:val="en"/>
        </w:rPr>
        <w:footnoteReference w:id="9"/>
      </w:r>
    </w:p>
    <w:p w14:paraId="4BE82DD5" w14:textId="25332AA8" w:rsidR="0040462A" w:rsidRDefault="0040462A" w:rsidP="0040462A">
      <w:pPr>
        <w:rPr>
          <w:rFonts w:asciiTheme="majorHAnsi" w:hAnsiTheme="majorHAnsi" w:cstheme="majorHAnsi"/>
          <w:lang w:val="en"/>
        </w:rPr>
      </w:pPr>
    </w:p>
    <w:p w14:paraId="36F8468C" w14:textId="6FB2748F" w:rsidR="0040462A" w:rsidRDefault="0040462A" w:rsidP="0040462A">
      <w:pPr>
        <w:rPr>
          <w:rFonts w:asciiTheme="majorHAnsi" w:hAnsiTheme="majorHAnsi" w:cstheme="majorHAnsi"/>
          <w:lang w:val="en"/>
        </w:rPr>
      </w:pPr>
      <w:r w:rsidRPr="00D60E49">
        <w:rPr>
          <w:rFonts w:asciiTheme="majorHAnsi" w:hAnsiTheme="majorHAnsi" w:cstheme="majorHAnsi"/>
          <w:lang w:val="en"/>
        </w:rPr>
        <w:t>The fulfillment of this purpose requires a process consisting of several stages, among which the following are essential: planning the elements or methodology of the consultation process and its implementation within the community; providing sufficient information about the project and its impacts to the community; providing time for internal discussion within each community, offering expert support</w:t>
      </w:r>
      <w:r>
        <w:rPr>
          <w:rFonts w:asciiTheme="majorHAnsi" w:hAnsiTheme="majorHAnsi" w:cstheme="majorHAnsi"/>
          <w:lang w:val="en"/>
        </w:rPr>
        <w:t xml:space="preserve"> where it is needed;</w:t>
      </w:r>
      <w:r w:rsidRPr="00D60E49">
        <w:rPr>
          <w:rFonts w:asciiTheme="majorHAnsi" w:hAnsiTheme="majorHAnsi" w:cstheme="majorHAnsi"/>
          <w:lang w:val="en"/>
        </w:rPr>
        <w:t xml:space="preserve">, requesting and receiving additional </w:t>
      </w:r>
      <w:r w:rsidRPr="00D60E49">
        <w:rPr>
          <w:rFonts w:asciiTheme="majorHAnsi" w:hAnsiTheme="majorHAnsi" w:cstheme="majorHAnsi"/>
          <w:lang w:val="en"/>
        </w:rPr>
        <w:t>information initiating</w:t>
      </w:r>
      <w:r w:rsidRPr="00D60E49">
        <w:rPr>
          <w:rFonts w:asciiTheme="majorHAnsi" w:hAnsiTheme="majorHAnsi" w:cstheme="majorHAnsi"/>
          <w:lang w:val="en"/>
        </w:rPr>
        <w:t xml:space="preserve"> conversations or meetings  which genuinely seek an agreement; and other phases</w:t>
      </w:r>
      <w:r>
        <w:rPr>
          <w:rFonts w:asciiTheme="majorHAnsi" w:hAnsiTheme="majorHAnsi" w:cstheme="majorHAnsi"/>
          <w:lang w:val="en"/>
        </w:rPr>
        <w:t>.</w:t>
      </w:r>
      <w:r w:rsidR="00090B2C">
        <w:rPr>
          <w:rStyle w:val="FootnoteReference"/>
          <w:rFonts w:asciiTheme="majorHAnsi" w:hAnsiTheme="majorHAnsi" w:cstheme="majorHAnsi"/>
          <w:lang w:val="en"/>
        </w:rPr>
        <w:footnoteReference w:id="10"/>
      </w:r>
    </w:p>
    <w:p w14:paraId="38EA459E" w14:textId="0E7D7DDE" w:rsidR="0040462A" w:rsidRDefault="0040462A" w:rsidP="0040462A">
      <w:pPr>
        <w:rPr>
          <w:rFonts w:asciiTheme="majorHAnsi" w:hAnsiTheme="majorHAnsi" w:cstheme="majorHAnsi"/>
          <w:lang w:val="en"/>
        </w:rPr>
      </w:pPr>
    </w:p>
    <w:p w14:paraId="15878442" w14:textId="77777777" w:rsidR="0040462A" w:rsidRDefault="0040462A" w:rsidP="0040462A">
      <w:pPr>
        <w:rPr>
          <w:rFonts w:asciiTheme="majorHAnsi" w:hAnsiTheme="majorHAnsi" w:cstheme="majorHAnsi"/>
          <w:lang w:val="en"/>
        </w:rPr>
      </w:pPr>
      <w:r w:rsidRPr="00D60E49">
        <w:rPr>
          <w:rFonts w:asciiTheme="majorHAnsi" w:hAnsiTheme="majorHAnsi" w:cstheme="majorHAnsi"/>
          <w:lang w:val="en"/>
        </w:rPr>
        <w:t xml:space="preserve">A system that does not allow room for these activities </w:t>
      </w:r>
      <w:r>
        <w:rPr>
          <w:rFonts w:asciiTheme="majorHAnsi" w:hAnsiTheme="majorHAnsi" w:cstheme="majorHAnsi"/>
          <w:lang w:val="en"/>
        </w:rPr>
        <w:t xml:space="preserve">does </w:t>
      </w:r>
      <w:r w:rsidRPr="00D60E49">
        <w:rPr>
          <w:rFonts w:asciiTheme="majorHAnsi" w:hAnsiTheme="majorHAnsi" w:cstheme="majorHAnsi"/>
          <w:lang w:val="en"/>
        </w:rPr>
        <w:t xml:space="preserve">not </w:t>
      </w:r>
      <w:r>
        <w:rPr>
          <w:rFonts w:asciiTheme="majorHAnsi" w:hAnsiTheme="majorHAnsi" w:cstheme="majorHAnsi"/>
          <w:lang w:val="en"/>
        </w:rPr>
        <w:t xml:space="preserve">appear to be </w:t>
      </w:r>
      <w:r w:rsidRPr="00D60E49">
        <w:rPr>
          <w:rFonts w:asciiTheme="majorHAnsi" w:hAnsiTheme="majorHAnsi" w:cstheme="majorHAnsi"/>
          <w:lang w:val="en"/>
        </w:rPr>
        <w:t>designed to reach an agreement or obtain consent.</w:t>
      </w:r>
    </w:p>
    <w:p w14:paraId="7F525B5A" w14:textId="00CB8FDA" w:rsidR="0040462A" w:rsidRDefault="0040462A" w:rsidP="0040462A">
      <w:pPr>
        <w:rPr>
          <w:rStyle w:val="markedcontent"/>
          <w:rFonts w:asciiTheme="majorHAnsi" w:hAnsiTheme="majorHAnsi" w:cstheme="majorHAnsi"/>
          <w:lang w:val="en"/>
        </w:rPr>
      </w:pPr>
    </w:p>
    <w:p w14:paraId="4E107B46" w14:textId="77777777" w:rsidR="0040462A" w:rsidRPr="00AE3F9B" w:rsidRDefault="0040462A" w:rsidP="0040462A">
      <w:pPr>
        <w:rPr>
          <w:rFonts w:cs="Calibri"/>
          <w:b/>
          <w:bCs/>
        </w:rPr>
      </w:pPr>
      <w:r>
        <w:rPr>
          <w:b/>
          <w:bCs/>
          <w:lang w:val="en"/>
        </w:rPr>
        <w:t>PRINCIPLE 5</w:t>
      </w:r>
    </w:p>
    <w:p w14:paraId="1C5A44DC" w14:textId="078F25D2" w:rsidR="0040462A" w:rsidRPr="00AF6565" w:rsidRDefault="0040462A" w:rsidP="00AF6565">
      <w:pPr>
        <w:spacing w:line="360" w:lineRule="auto"/>
        <w:rPr>
          <w:rStyle w:val="markedcontent"/>
          <w:rFonts w:cs="Calibri"/>
          <w:b/>
          <w:bCs/>
        </w:rPr>
      </w:pPr>
      <w:r>
        <w:rPr>
          <w:b/>
          <w:bCs/>
          <w:lang w:val="en"/>
        </w:rPr>
        <w:t>INFORMED CONSULTATION</w:t>
      </w:r>
    </w:p>
    <w:p w14:paraId="311AE4DC" w14:textId="19F7F28E" w:rsidR="0040462A" w:rsidRDefault="0040462A" w:rsidP="0040462A">
      <w:pPr>
        <w:rPr>
          <w:rFonts w:asciiTheme="majorHAnsi" w:hAnsiTheme="majorHAnsi" w:cstheme="majorHAnsi"/>
          <w:lang w:val="en"/>
        </w:rPr>
      </w:pPr>
      <w:r w:rsidRPr="00AC3BD4">
        <w:rPr>
          <w:rFonts w:asciiTheme="majorHAnsi" w:hAnsiTheme="majorHAnsi" w:cstheme="majorHAnsi"/>
          <w:lang w:val="en"/>
        </w:rPr>
        <w:t>If the process aims to reach an agreement, people must be provided with the necessary information to ensure all aspects of the project are understood</w:t>
      </w:r>
      <w:r>
        <w:rPr>
          <w:rFonts w:asciiTheme="majorHAnsi" w:hAnsiTheme="majorHAnsi" w:cstheme="majorHAnsi"/>
          <w:lang w:val="en"/>
        </w:rPr>
        <w:t>.</w:t>
      </w:r>
      <w:r w:rsidR="004E1718">
        <w:rPr>
          <w:rStyle w:val="FootnoteReference"/>
          <w:rFonts w:asciiTheme="majorHAnsi" w:hAnsiTheme="majorHAnsi" w:cstheme="majorHAnsi"/>
          <w:lang w:val="en"/>
        </w:rPr>
        <w:footnoteReference w:id="11"/>
      </w:r>
    </w:p>
    <w:p w14:paraId="627B0AC9" w14:textId="2559BEAD" w:rsidR="0040462A" w:rsidRDefault="0040462A" w:rsidP="0040462A">
      <w:pPr>
        <w:rPr>
          <w:rFonts w:asciiTheme="majorHAnsi" w:hAnsiTheme="majorHAnsi" w:cstheme="majorHAnsi"/>
          <w:lang w:val="en"/>
        </w:rPr>
      </w:pPr>
    </w:p>
    <w:p w14:paraId="0E214759" w14:textId="77777777" w:rsidR="0040462A" w:rsidRPr="00AC3BD4" w:rsidRDefault="0040462A" w:rsidP="0040462A">
      <w:pPr>
        <w:rPr>
          <w:rFonts w:asciiTheme="majorHAnsi" w:hAnsiTheme="majorHAnsi" w:cstheme="majorHAnsi"/>
          <w:lang w:val="en"/>
        </w:rPr>
      </w:pPr>
      <w:r w:rsidRPr="00AC3BD4">
        <w:rPr>
          <w:rFonts w:asciiTheme="majorHAnsi" w:hAnsiTheme="majorHAnsi" w:cstheme="majorHAnsi"/>
          <w:lang w:val="en"/>
        </w:rPr>
        <w:t>The definition of what constitutes necessary information should be determined by listening to the voices of the people concerned.</w:t>
      </w:r>
    </w:p>
    <w:p w14:paraId="7EF4BDC6" w14:textId="68FC5E02" w:rsidR="0040462A" w:rsidRDefault="0040462A" w:rsidP="0040462A">
      <w:pPr>
        <w:rPr>
          <w:rStyle w:val="markedcontent"/>
          <w:rFonts w:asciiTheme="majorHAnsi" w:hAnsiTheme="majorHAnsi" w:cstheme="majorHAnsi"/>
          <w:lang w:val="en"/>
        </w:rPr>
      </w:pPr>
    </w:p>
    <w:p w14:paraId="4854D797" w14:textId="77777777" w:rsidR="0040462A" w:rsidRPr="00AE3F9B" w:rsidRDefault="0040462A" w:rsidP="0040462A">
      <w:pPr>
        <w:rPr>
          <w:rFonts w:cs="Calibri"/>
          <w:b/>
          <w:bCs/>
        </w:rPr>
      </w:pPr>
      <w:r>
        <w:rPr>
          <w:b/>
          <w:bCs/>
          <w:lang w:val="en"/>
        </w:rPr>
        <w:t>PRINCIPLE 6</w:t>
      </w:r>
    </w:p>
    <w:p w14:paraId="34AF68D1" w14:textId="19AAA2D6" w:rsidR="0040462A" w:rsidRPr="00AF6565" w:rsidRDefault="0040462A" w:rsidP="00AF6565">
      <w:pPr>
        <w:spacing w:line="360" w:lineRule="auto"/>
        <w:rPr>
          <w:rStyle w:val="markedcontent"/>
          <w:rFonts w:cs="Calibri"/>
          <w:b/>
          <w:bCs/>
        </w:rPr>
      </w:pPr>
      <w:r>
        <w:rPr>
          <w:b/>
          <w:bCs/>
          <w:lang w:val="en"/>
        </w:rPr>
        <w:t>CULTURALLY APPROPRIATE PROCESS</w:t>
      </w:r>
    </w:p>
    <w:p w14:paraId="53D42C83" w14:textId="70A7F0DD" w:rsidR="0040462A" w:rsidRDefault="0040462A" w:rsidP="0040462A">
      <w:pPr>
        <w:rPr>
          <w:rFonts w:asciiTheme="majorHAnsi" w:hAnsiTheme="majorHAnsi" w:cstheme="majorHAnsi"/>
          <w:lang w:val="en"/>
        </w:rPr>
      </w:pPr>
      <w:r w:rsidRPr="00AC3BD4">
        <w:rPr>
          <w:rFonts w:asciiTheme="majorHAnsi" w:hAnsiTheme="majorHAnsi" w:cstheme="majorHAnsi"/>
          <w:lang w:val="en"/>
        </w:rPr>
        <w:t>Consultations should be conducted under culturally appropriate procedures</w:t>
      </w:r>
      <w:r>
        <w:rPr>
          <w:rFonts w:asciiTheme="majorHAnsi" w:hAnsiTheme="majorHAnsi" w:cstheme="majorHAnsi"/>
          <w:lang w:val="en"/>
        </w:rPr>
        <w:t>.</w:t>
      </w:r>
      <w:r w:rsidR="004E1718">
        <w:rPr>
          <w:rStyle w:val="FootnoteReference"/>
          <w:rFonts w:asciiTheme="majorHAnsi" w:hAnsiTheme="majorHAnsi" w:cstheme="majorHAnsi"/>
          <w:lang w:val="en"/>
        </w:rPr>
        <w:footnoteReference w:id="12"/>
      </w:r>
    </w:p>
    <w:p w14:paraId="5E2F5890" w14:textId="59656BC5" w:rsidR="0040462A" w:rsidRDefault="0040462A" w:rsidP="0040462A">
      <w:pPr>
        <w:rPr>
          <w:rFonts w:asciiTheme="majorHAnsi" w:hAnsiTheme="majorHAnsi" w:cstheme="majorHAnsi"/>
          <w:lang w:val="en"/>
        </w:rPr>
      </w:pPr>
    </w:p>
    <w:p w14:paraId="2B96924C" w14:textId="7F10FDA3" w:rsidR="0040462A" w:rsidRDefault="0040462A" w:rsidP="0040462A">
      <w:pPr>
        <w:rPr>
          <w:rFonts w:asciiTheme="majorHAnsi" w:hAnsiTheme="majorHAnsi" w:cstheme="majorHAnsi"/>
          <w:lang w:val="en"/>
        </w:rPr>
      </w:pPr>
      <w:r w:rsidRPr="00AC3BD4">
        <w:rPr>
          <w:rFonts w:asciiTheme="majorHAnsi" w:hAnsiTheme="majorHAnsi" w:cstheme="majorHAnsi"/>
          <w:lang w:val="en"/>
        </w:rPr>
        <w:t xml:space="preserve">The community has the right to determine what information it needs and how it should be presented for cultural relevance. </w:t>
      </w:r>
    </w:p>
    <w:p w14:paraId="49DF40D6" w14:textId="77777777" w:rsidR="0040462A" w:rsidRPr="00AC3BD4" w:rsidRDefault="0040462A" w:rsidP="0040462A">
      <w:pPr>
        <w:rPr>
          <w:rFonts w:asciiTheme="majorHAnsi" w:hAnsiTheme="majorHAnsi" w:cstheme="majorHAnsi"/>
          <w:lang w:val="en"/>
        </w:rPr>
      </w:pPr>
    </w:p>
    <w:p w14:paraId="4A773192" w14:textId="77777777" w:rsidR="0040462A" w:rsidRPr="00AC3BD4" w:rsidRDefault="0040462A" w:rsidP="0040462A">
      <w:pPr>
        <w:rPr>
          <w:rFonts w:asciiTheme="majorHAnsi" w:hAnsiTheme="majorHAnsi" w:cstheme="majorHAnsi"/>
          <w:lang w:val="en"/>
        </w:rPr>
      </w:pPr>
      <w:r w:rsidRPr="00AC3BD4">
        <w:rPr>
          <w:rFonts w:asciiTheme="majorHAnsi" w:hAnsiTheme="majorHAnsi" w:cstheme="majorHAnsi"/>
          <w:lang w:val="en"/>
        </w:rPr>
        <w:lastRenderedPageBreak/>
        <w:t xml:space="preserve">Funds may be necessary to allow </w:t>
      </w:r>
      <w:r>
        <w:rPr>
          <w:rFonts w:asciiTheme="majorHAnsi" w:hAnsiTheme="majorHAnsi" w:cstheme="majorHAnsi"/>
          <w:lang w:val="en"/>
        </w:rPr>
        <w:t xml:space="preserve">the affected peoples </w:t>
      </w:r>
      <w:r w:rsidRPr="00AC3BD4">
        <w:rPr>
          <w:rFonts w:asciiTheme="majorHAnsi" w:hAnsiTheme="majorHAnsi" w:cstheme="majorHAnsi"/>
          <w:lang w:val="en"/>
        </w:rPr>
        <w:t>access to experts in relevant subjects.</w:t>
      </w:r>
    </w:p>
    <w:p w14:paraId="22E44E24" w14:textId="77777777" w:rsidR="0040462A" w:rsidRPr="00D60E49" w:rsidRDefault="0040462A" w:rsidP="0040462A">
      <w:pPr>
        <w:rPr>
          <w:rStyle w:val="markedcontent"/>
          <w:rFonts w:asciiTheme="majorHAnsi" w:hAnsiTheme="majorHAnsi" w:cstheme="majorHAnsi"/>
          <w:lang w:val="en"/>
        </w:rPr>
      </w:pPr>
    </w:p>
    <w:p w14:paraId="537E7F1E" w14:textId="77777777" w:rsidR="0040462A" w:rsidRPr="00AE3F9B" w:rsidRDefault="0040462A" w:rsidP="0040462A">
      <w:pPr>
        <w:rPr>
          <w:rFonts w:cs="Calibri"/>
          <w:b/>
          <w:bCs/>
        </w:rPr>
      </w:pPr>
      <w:r>
        <w:rPr>
          <w:b/>
          <w:bCs/>
          <w:lang w:val="en"/>
        </w:rPr>
        <w:t>PRINCIPLE 7</w:t>
      </w:r>
    </w:p>
    <w:p w14:paraId="7842C2A1" w14:textId="4235B266" w:rsidR="0040462A" w:rsidRPr="00AF6565" w:rsidRDefault="0040462A" w:rsidP="00AF6565">
      <w:pPr>
        <w:spacing w:line="360" w:lineRule="auto"/>
        <w:rPr>
          <w:b/>
          <w:bCs/>
          <w:lang w:val="en"/>
        </w:rPr>
      </w:pPr>
      <w:r>
        <w:rPr>
          <w:b/>
          <w:bCs/>
          <w:lang w:val="en"/>
        </w:rPr>
        <w:t>PRIOR CONSULTATION</w:t>
      </w:r>
    </w:p>
    <w:p w14:paraId="79CB6EA1" w14:textId="77777777" w:rsidR="0040462A" w:rsidRPr="00DE2ABC" w:rsidRDefault="0040462A" w:rsidP="0040462A">
      <w:pPr>
        <w:rPr>
          <w:rFonts w:asciiTheme="majorHAnsi" w:hAnsiTheme="majorHAnsi" w:cstheme="majorHAnsi"/>
          <w:lang w:val="en"/>
        </w:rPr>
      </w:pPr>
      <w:r w:rsidRPr="00DE2ABC">
        <w:rPr>
          <w:rFonts w:asciiTheme="majorHAnsi" w:hAnsiTheme="majorHAnsi" w:cstheme="majorHAnsi"/>
          <w:lang w:val="en"/>
        </w:rPr>
        <w:t>Consultation with Indigenous communities must occur prior to project development or implementation of a plan.</w:t>
      </w:r>
    </w:p>
    <w:p w14:paraId="0C6019D7" w14:textId="77777777" w:rsidR="0040462A" w:rsidRPr="00DE2ABC" w:rsidRDefault="0040462A" w:rsidP="0040462A">
      <w:pPr>
        <w:rPr>
          <w:rFonts w:asciiTheme="majorHAnsi" w:hAnsiTheme="majorHAnsi" w:cstheme="majorHAnsi"/>
          <w:lang w:val="en"/>
        </w:rPr>
      </w:pPr>
    </w:p>
    <w:p w14:paraId="5DCC109D" w14:textId="77777777" w:rsidR="0040462A" w:rsidRPr="00DE2ABC" w:rsidRDefault="0040462A" w:rsidP="0040462A">
      <w:pPr>
        <w:rPr>
          <w:rFonts w:asciiTheme="majorHAnsi" w:hAnsiTheme="majorHAnsi" w:cstheme="majorHAnsi"/>
          <w:lang w:val="en"/>
        </w:rPr>
      </w:pPr>
      <w:r w:rsidRPr="00DE2ABC">
        <w:rPr>
          <w:rFonts w:asciiTheme="majorHAnsi" w:hAnsiTheme="majorHAnsi" w:cstheme="majorHAnsi"/>
          <w:lang w:val="en"/>
        </w:rPr>
        <w:t xml:space="preserve">Conducting the consultation in the early stages of the development or investment plan should be prioritized, </w:t>
      </w:r>
      <w:r>
        <w:rPr>
          <w:rStyle w:val="normaltextrun"/>
          <w:rFonts w:asciiTheme="majorHAnsi" w:hAnsiTheme="majorHAnsi" w:cstheme="majorHAnsi"/>
          <w:color w:val="000000"/>
          <w:shd w:val="clear" w:color="auto" w:fill="FFFFFF"/>
        </w:rPr>
        <w:t>the process should not be initiated only where</w:t>
      </w:r>
      <w:r w:rsidRPr="00DE2ABC">
        <w:rPr>
          <w:rStyle w:val="normaltextrun"/>
          <w:rFonts w:asciiTheme="majorHAnsi" w:hAnsiTheme="majorHAnsi" w:cstheme="majorHAnsi"/>
          <w:color w:val="000000"/>
          <w:shd w:val="clear" w:color="auto" w:fill="FFFFFF"/>
        </w:rPr>
        <w:t xml:space="preserve"> there is a need for permitting or a </w:t>
      </w:r>
      <w:r>
        <w:rPr>
          <w:rStyle w:val="normaltextrun"/>
          <w:rFonts w:asciiTheme="majorHAnsi" w:hAnsiTheme="majorHAnsi" w:cstheme="majorHAnsi"/>
          <w:color w:val="000000"/>
          <w:shd w:val="clear" w:color="auto" w:fill="FFFFFF"/>
        </w:rPr>
        <w:t xml:space="preserve">legal </w:t>
      </w:r>
      <w:r w:rsidRPr="00DE2ABC">
        <w:rPr>
          <w:rStyle w:val="normaltextrun"/>
          <w:rFonts w:asciiTheme="majorHAnsi" w:hAnsiTheme="majorHAnsi" w:cstheme="majorHAnsi"/>
          <w:color w:val="000000"/>
          <w:shd w:val="clear" w:color="auto" w:fill="FFFFFF"/>
        </w:rPr>
        <w:t xml:space="preserve">need to </w:t>
      </w:r>
      <w:r>
        <w:rPr>
          <w:rStyle w:val="normaltextrun"/>
          <w:rFonts w:asciiTheme="majorHAnsi" w:hAnsiTheme="majorHAnsi" w:cstheme="majorHAnsi"/>
          <w:color w:val="000000"/>
          <w:shd w:val="clear" w:color="auto" w:fill="FFFFFF"/>
        </w:rPr>
        <w:t xml:space="preserve">consult or </w:t>
      </w:r>
      <w:r w:rsidRPr="00DE2ABC">
        <w:rPr>
          <w:rStyle w:val="normaltextrun"/>
          <w:rFonts w:asciiTheme="majorHAnsi" w:hAnsiTheme="majorHAnsi" w:cstheme="majorHAnsi"/>
          <w:color w:val="000000"/>
          <w:shd w:val="clear" w:color="auto" w:fill="FFFFFF"/>
        </w:rPr>
        <w:t>obtain community approval. </w:t>
      </w:r>
    </w:p>
    <w:p w14:paraId="07FFC23E" w14:textId="330BC379" w:rsidR="0040462A" w:rsidRDefault="0040462A"/>
    <w:p w14:paraId="6556CB00" w14:textId="4035B6CB" w:rsidR="0040462A" w:rsidRDefault="0040462A">
      <w:pPr>
        <w:rPr>
          <w:rFonts w:asciiTheme="majorHAnsi" w:hAnsiTheme="majorHAnsi" w:cstheme="majorHAnsi"/>
          <w:lang w:val="en"/>
        </w:rPr>
      </w:pPr>
      <w:r w:rsidRPr="005205B8">
        <w:rPr>
          <w:rFonts w:asciiTheme="majorHAnsi" w:hAnsiTheme="majorHAnsi" w:cstheme="majorHAnsi"/>
          <w:lang w:val="en"/>
        </w:rPr>
        <w:t>Early notice provides adequate time for discussion within communities and allow communities to offer a thoughtful response to the State</w:t>
      </w:r>
      <w:r>
        <w:rPr>
          <w:rFonts w:asciiTheme="majorHAnsi" w:hAnsiTheme="majorHAnsi" w:cstheme="majorHAnsi"/>
          <w:lang w:val="en"/>
        </w:rPr>
        <w:t>.</w:t>
      </w:r>
      <w:r w:rsidR="004E1718">
        <w:rPr>
          <w:rStyle w:val="FootnoteReference"/>
          <w:rFonts w:asciiTheme="majorHAnsi" w:hAnsiTheme="majorHAnsi" w:cstheme="majorHAnsi"/>
          <w:lang w:val="en"/>
        </w:rPr>
        <w:footnoteReference w:id="13"/>
      </w:r>
      <w:r>
        <w:rPr>
          <w:rFonts w:asciiTheme="majorHAnsi" w:hAnsiTheme="majorHAnsi" w:cstheme="majorHAnsi"/>
          <w:lang w:val="en"/>
        </w:rPr>
        <w:t xml:space="preserve"> </w:t>
      </w:r>
      <w:r>
        <w:rPr>
          <w:rFonts w:asciiTheme="majorHAnsi" w:hAnsiTheme="majorHAnsi" w:cstheme="majorHAnsi"/>
          <w:lang w:val="en"/>
        </w:rPr>
        <w:t>It reduces the potential for conflict.</w:t>
      </w:r>
    </w:p>
    <w:p w14:paraId="61EAC11A" w14:textId="05FEEEF2" w:rsidR="0040462A" w:rsidRDefault="0040462A">
      <w:pPr>
        <w:rPr>
          <w:rFonts w:asciiTheme="majorHAnsi" w:hAnsiTheme="majorHAnsi" w:cstheme="majorHAnsi"/>
          <w:lang w:val="en"/>
        </w:rPr>
      </w:pPr>
    </w:p>
    <w:p w14:paraId="3D8565F7" w14:textId="77777777" w:rsidR="0040462A" w:rsidRPr="00AE3F9B" w:rsidRDefault="0040462A" w:rsidP="0040462A">
      <w:pPr>
        <w:rPr>
          <w:rFonts w:cs="Calibri"/>
          <w:b/>
          <w:bCs/>
        </w:rPr>
      </w:pPr>
      <w:r>
        <w:rPr>
          <w:b/>
          <w:bCs/>
          <w:lang w:val="en"/>
        </w:rPr>
        <w:t>PRINCIPLE 8</w:t>
      </w:r>
    </w:p>
    <w:p w14:paraId="20216DFE" w14:textId="2109D7E9" w:rsidR="0040462A" w:rsidRPr="00AF6565" w:rsidRDefault="0040462A" w:rsidP="00AF6565">
      <w:pPr>
        <w:spacing w:line="360" w:lineRule="auto"/>
        <w:rPr>
          <w:rFonts w:cs="Calibri"/>
          <w:b/>
          <w:bCs/>
        </w:rPr>
      </w:pPr>
      <w:r>
        <w:rPr>
          <w:b/>
          <w:bCs/>
          <w:lang w:val="en"/>
        </w:rPr>
        <w:t>GOVERNMENT IS RESPONSIBLE FOR THE CONSULTATION</w:t>
      </w:r>
    </w:p>
    <w:p w14:paraId="588E824E" w14:textId="11ACCBDB" w:rsidR="0040462A" w:rsidRDefault="0040462A" w:rsidP="0040462A">
      <w:pPr>
        <w:rPr>
          <w:rFonts w:asciiTheme="majorHAnsi" w:hAnsiTheme="majorHAnsi" w:cstheme="majorHAnsi"/>
          <w:lang w:val="en"/>
        </w:rPr>
      </w:pPr>
      <w:r w:rsidRPr="005205B8">
        <w:rPr>
          <w:rFonts w:asciiTheme="majorHAnsi" w:hAnsiTheme="majorHAnsi" w:cstheme="majorHAnsi"/>
          <w:lang w:val="en"/>
        </w:rPr>
        <w:t xml:space="preserve">The Government must conduct the consultation and cannot delegate this responsibility to third parties. </w:t>
      </w:r>
    </w:p>
    <w:p w14:paraId="2D154B9B" w14:textId="77777777" w:rsidR="00AF6565" w:rsidRPr="005205B8" w:rsidRDefault="00AF6565" w:rsidP="0040462A">
      <w:pPr>
        <w:rPr>
          <w:rFonts w:asciiTheme="majorHAnsi" w:hAnsiTheme="majorHAnsi" w:cstheme="majorHAnsi"/>
          <w:lang w:val="en"/>
        </w:rPr>
      </w:pPr>
    </w:p>
    <w:p w14:paraId="3E081EB3" w14:textId="6C3E033E" w:rsidR="0040462A" w:rsidRDefault="0040462A" w:rsidP="0040462A">
      <w:pPr>
        <w:rPr>
          <w:rFonts w:asciiTheme="majorHAnsi" w:hAnsiTheme="majorHAnsi" w:cstheme="majorHAnsi"/>
          <w:lang w:val="en"/>
        </w:rPr>
      </w:pPr>
      <w:r w:rsidRPr="005205B8">
        <w:rPr>
          <w:rFonts w:asciiTheme="majorHAnsi" w:hAnsiTheme="majorHAnsi" w:cstheme="majorHAnsi"/>
          <w:lang w:val="en"/>
        </w:rPr>
        <w:t xml:space="preserve">The obligation to consult is a </w:t>
      </w:r>
      <w:proofErr w:type="gramStart"/>
      <w:r w:rsidRPr="005205B8">
        <w:rPr>
          <w:rFonts w:asciiTheme="majorHAnsi" w:hAnsiTheme="majorHAnsi" w:cstheme="majorHAnsi"/>
          <w:lang w:val="en"/>
        </w:rPr>
        <w:t>State</w:t>
      </w:r>
      <w:proofErr w:type="gramEnd"/>
      <w:r w:rsidRPr="005205B8">
        <w:rPr>
          <w:rFonts w:asciiTheme="majorHAnsi" w:hAnsiTheme="majorHAnsi" w:cstheme="majorHAnsi"/>
          <w:lang w:val="en"/>
        </w:rPr>
        <w:t xml:space="preserve"> responsibility. Therefore, the planning and implementation of the consultation process is not a duty that can be delegated to a private company or to third parties, much less to a company interested in obtaining a permit for or interested in the exploitation of the respective resources where it is likely to affect indigenous or tribal peoples</w:t>
      </w:r>
      <w:r>
        <w:rPr>
          <w:rFonts w:asciiTheme="majorHAnsi" w:hAnsiTheme="majorHAnsi" w:cstheme="majorHAnsi"/>
          <w:lang w:val="en"/>
        </w:rPr>
        <w:t>.</w:t>
      </w:r>
      <w:r w:rsidR="004E1718">
        <w:rPr>
          <w:rStyle w:val="FootnoteReference"/>
          <w:rFonts w:asciiTheme="majorHAnsi" w:hAnsiTheme="majorHAnsi" w:cstheme="majorHAnsi"/>
          <w:lang w:val="en"/>
        </w:rPr>
        <w:footnoteReference w:id="14"/>
      </w:r>
    </w:p>
    <w:p w14:paraId="023A5603" w14:textId="13026B89" w:rsidR="0040462A" w:rsidRDefault="0040462A" w:rsidP="0040462A">
      <w:pPr>
        <w:rPr>
          <w:rFonts w:asciiTheme="majorHAnsi" w:hAnsiTheme="majorHAnsi" w:cstheme="majorHAnsi"/>
          <w:lang w:val="en"/>
        </w:rPr>
      </w:pPr>
    </w:p>
    <w:p w14:paraId="73B81E8E" w14:textId="77777777" w:rsidR="0040462A" w:rsidRPr="00AE3F9B" w:rsidRDefault="0040462A" w:rsidP="0040462A">
      <w:pPr>
        <w:rPr>
          <w:rFonts w:cs="Calibri"/>
          <w:b/>
          <w:bCs/>
        </w:rPr>
      </w:pPr>
      <w:r>
        <w:rPr>
          <w:b/>
          <w:bCs/>
          <w:lang w:val="en"/>
        </w:rPr>
        <w:t>P</w:t>
      </w:r>
      <w:r w:rsidRPr="00774F03">
        <w:rPr>
          <w:b/>
          <w:bCs/>
          <w:lang w:val="en"/>
        </w:rPr>
        <w:t>RINCIP</w:t>
      </w:r>
      <w:r>
        <w:rPr>
          <w:b/>
          <w:bCs/>
          <w:lang w:val="en"/>
        </w:rPr>
        <w:t>LE</w:t>
      </w:r>
      <w:r w:rsidRPr="00774F03">
        <w:rPr>
          <w:b/>
          <w:bCs/>
          <w:lang w:val="en"/>
        </w:rPr>
        <w:t xml:space="preserve"> 9</w:t>
      </w:r>
    </w:p>
    <w:p w14:paraId="5EE43452" w14:textId="250231E2" w:rsidR="0040462A" w:rsidRPr="00AF6565" w:rsidRDefault="0040462A" w:rsidP="00AF6565">
      <w:pPr>
        <w:spacing w:line="360" w:lineRule="auto"/>
        <w:rPr>
          <w:rFonts w:cs="Calibri"/>
          <w:b/>
          <w:bCs/>
        </w:rPr>
      </w:pPr>
      <w:r>
        <w:rPr>
          <w:b/>
          <w:bCs/>
          <w:lang w:val="en"/>
        </w:rPr>
        <w:t>THE ROLE OF THE PRIVATE SECTOR</w:t>
      </w:r>
    </w:p>
    <w:p w14:paraId="4FE67050" w14:textId="16EF1A77" w:rsidR="0040462A" w:rsidRDefault="0040462A" w:rsidP="0040462A">
      <w:pPr>
        <w:rPr>
          <w:rFonts w:asciiTheme="majorHAnsi" w:hAnsiTheme="majorHAnsi" w:cstheme="majorHAnsi"/>
          <w:lang w:val="en"/>
        </w:rPr>
      </w:pPr>
      <w:r w:rsidRPr="00A03DD0">
        <w:rPr>
          <w:rFonts w:asciiTheme="majorHAnsi" w:hAnsiTheme="majorHAnsi" w:cstheme="majorHAnsi"/>
          <w:lang w:val="en"/>
        </w:rPr>
        <w:t>Because Indigenous peoples have the right to their social and cultural development</w:t>
      </w:r>
      <w:r w:rsidR="004E1718">
        <w:rPr>
          <w:rStyle w:val="FootnoteReference"/>
          <w:rFonts w:asciiTheme="majorHAnsi" w:hAnsiTheme="majorHAnsi" w:cstheme="majorHAnsi"/>
          <w:lang w:val="en"/>
        </w:rPr>
        <w:footnoteReference w:id="15"/>
      </w:r>
      <w:r>
        <w:rPr>
          <w:rFonts w:asciiTheme="majorHAnsi" w:hAnsiTheme="majorHAnsi" w:cstheme="majorHAnsi"/>
          <w:lang w:val="en"/>
        </w:rPr>
        <w:t xml:space="preserve">, </w:t>
      </w:r>
      <w:r w:rsidRPr="00A03DD0">
        <w:rPr>
          <w:rFonts w:asciiTheme="majorHAnsi" w:hAnsiTheme="majorHAnsi" w:cstheme="majorHAnsi"/>
          <w:lang w:val="en"/>
        </w:rPr>
        <w:t xml:space="preserve">and the activities of the private sector can support this development, consultation must define a role for the company that intends to develop the project so that affected communities </w:t>
      </w:r>
      <w:proofErr w:type="gramStart"/>
      <w:r w:rsidRPr="00A03DD0">
        <w:rPr>
          <w:rFonts w:asciiTheme="majorHAnsi" w:hAnsiTheme="majorHAnsi" w:cstheme="majorHAnsi"/>
          <w:lang w:val="en"/>
        </w:rPr>
        <w:t>have an understanding of</w:t>
      </w:r>
      <w:proofErr w:type="gramEnd"/>
      <w:r w:rsidRPr="00A03DD0">
        <w:rPr>
          <w:rFonts w:asciiTheme="majorHAnsi" w:hAnsiTheme="majorHAnsi" w:cstheme="majorHAnsi"/>
          <w:lang w:val="en"/>
        </w:rPr>
        <w:t xml:space="preserve"> the possible benefits and risks of the project and can establish a genuine dialogue with the company.</w:t>
      </w:r>
    </w:p>
    <w:p w14:paraId="06067F7B" w14:textId="425535F3" w:rsidR="0040462A" w:rsidRDefault="0040462A" w:rsidP="0040462A">
      <w:pPr>
        <w:rPr>
          <w:rFonts w:asciiTheme="majorHAnsi" w:hAnsiTheme="majorHAnsi" w:cstheme="majorHAnsi"/>
          <w:lang w:val="en"/>
        </w:rPr>
      </w:pPr>
    </w:p>
    <w:p w14:paraId="5A0381D1" w14:textId="228FD3E8" w:rsidR="0040462A" w:rsidRDefault="0040462A" w:rsidP="0040462A">
      <w:pPr>
        <w:rPr>
          <w:rFonts w:asciiTheme="majorHAnsi" w:hAnsiTheme="majorHAnsi" w:cstheme="majorHAnsi"/>
          <w:lang w:val="en"/>
        </w:rPr>
      </w:pPr>
      <w:r w:rsidRPr="00A03DD0">
        <w:rPr>
          <w:rFonts w:asciiTheme="majorHAnsi" w:hAnsiTheme="majorHAnsi" w:cstheme="majorHAnsi"/>
          <w:lang w:val="en"/>
        </w:rPr>
        <w:t xml:space="preserve">In some </w:t>
      </w:r>
      <w:r w:rsidR="00AF6565" w:rsidRPr="00A03DD0">
        <w:rPr>
          <w:rFonts w:asciiTheme="majorHAnsi" w:hAnsiTheme="majorHAnsi" w:cstheme="majorHAnsi"/>
          <w:lang w:val="en"/>
        </w:rPr>
        <w:t>instances,</w:t>
      </w:r>
      <w:r w:rsidRPr="00A03DD0">
        <w:rPr>
          <w:rFonts w:asciiTheme="majorHAnsi" w:hAnsiTheme="majorHAnsi" w:cstheme="majorHAnsi"/>
          <w:lang w:val="en"/>
        </w:rPr>
        <w:t xml:space="preserve"> it may be recommended that a company in the process of soliciting a permit or authorization application play a role in some of the stages of the consultation. This would be decided by the body responsible for the consultation and the affected communities</w:t>
      </w:r>
      <w:r>
        <w:rPr>
          <w:rFonts w:asciiTheme="majorHAnsi" w:hAnsiTheme="majorHAnsi" w:cstheme="majorHAnsi"/>
          <w:lang w:val="en"/>
        </w:rPr>
        <w:t>.</w:t>
      </w:r>
      <w:r w:rsidR="004E1718">
        <w:rPr>
          <w:rStyle w:val="FootnoteReference"/>
          <w:rFonts w:asciiTheme="majorHAnsi" w:hAnsiTheme="majorHAnsi" w:cstheme="majorHAnsi"/>
          <w:lang w:val="en"/>
        </w:rPr>
        <w:footnoteReference w:id="16"/>
      </w:r>
    </w:p>
    <w:p w14:paraId="63BD9682" w14:textId="3C0C2D0F" w:rsidR="0040462A" w:rsidRDefault="0040462A" w:rsidP="0040462A"/>
    <w:p w14:paraId="61B96212" w14:textId="77777777" w:rsidR="0040462A" w:rsidRPr="00AE3F9B" w:rsidRDefault="0040462A" w:rsidP="0040462A">
      <w:pPr>
        <w:rPr>
          <w:rFonts w:cs="Calibri"/>
          <w:b/>
          <w:bCs/>
        </w:rPr>
      </w:pPr>
      <w:r>
        <w:rPr>
          <w:b/>
          <w:bCs/>
          <w:lang w:val="en"/>
        </w:rPr>
        <w:t>PRINCIPLE 10</w:t>
      </w:r>
    </w:p>
    <w:p w14:paraId="1FF44819" w14:textId="77777777" w:rsidR="0040462A" w:rsidRPr="00721F5B" w:rsidRDefault="0040462A" w:rsidP="0040462A">
      <w:pPr>
        <w:rPr>
          <w:rFonts w:cs="Calibri"/>
          <w:b/>
          <w:bCs/>
        </w:rPr>
      </w:pPr>
      <w:r>
        <w:rPr>
          <w:b/>
          <w:bCs/>
          <w:lang w:val="en"/>
        </w:rPr>
        <w:t>STATE SAFEGUARDS OF THE PROCESS</w:t>
      </w:r>
    </w:p>
    <w:p w14:paraId="3A29694C" w14:textId="2D761ECF" w:rsidR="0040462A" w:rsidRDefault="0040462A" w:rsidP="0040462A"/>
    <w:p w14:paraId="4404AD6D" w14:textId="6E0ACCCC" w:rsidR="0040462A" w:rsidRDefault="00AF6565" w:rsidP="0040462A">
      <w:pPr>
        <w:rPr>
          <w:rFonts w:asciiTheme="majorHAnsi" w:hAnsiTheme="majorHAnsi" w:cstheme="majorHAnsi"/>
          <w:lang w:val="en"/>
        </w:rPr>
      </w:pPr>
      <w:r w:rsidRPr="00F346EC">
        <w:rPr>
          <w:rFonts w:asciiTheme="majorHAnsi" w:hAnsiTheme="majorHAnsi" w:cstheme="majorHAnsi"/>
          <w:lang w:val="en"/>
        </w:rPr>
        <w:t>To</w:t>
      </w:r>
      <w:r w:rsidR="0040462A" w:rsidRPr="00F346EC">
        <w:rPr>
          <w:rFonts w:asciiTheme="majorHAnsi" w:hAnsiTheme="majorHAnsi" w:cstheme="majorHAnsi"/>
          <w:lang w:val="en"/>
        </w:rPr>
        <w:t xml:space="preserve"> ensure that the survival of Indigenous peoples as such is not negated by decisions involving requests for the exploration or extraction of natural resources on land or territories owned or utilized by Indigenous peoples, the State must comply with the following safeguards:</w:t>
      </w:r>
    </w:p>
    <w:p w14:paraId="10DE0FF5" w14:textId="77777777" w:rsidR="0040462A" w:rsidRPr="00F346EC" w:rsidRDefault="0040462A" w:rsidP="0040462A">
      <w:pPr>
        <w:rPr>
          <w:rFonts w:asciiTheme="majorHAnsi" w:hAnsiTheme="majorHAnsi" w:cstheme="majorHAnsi"/>
          <w:lang w:val="en"/>
        </w:rPr>
      </w:pPr>
    </w:p>
    <w:p w14:paraId="7C4F455E" w14:textId="0825307F" w:rsidR="00AF6565" w:rsidRDefault="0040462A" w:rsidP="00AF6565">
      <w:pPr>
        <w:pStyle w:val="ListParagraph"/>
        <w:numPr>
          <w:ilvl w:val="0"/>
          <w:numId w:val="1"/>
        </w:numPr>
        <w:spacing w:after="0"/>
        <w:rPr>
          <w:rFonts w:asciiTheme="majorHAnsi" w:hAnsiTheme="majorHAnsi" w:cstheme="majorHAnsi"/>
          <w:sz w:val="24"/>
          <w:szCs w:val="24"/>
          <w:lang w:val="en"/>
        </w:rPr>
      </w:pPr>
      <w:r w:rsidRPr="00F346EC">
        <w:rPr>
          <w:rFonts w:asciiTheme="majorHAnsi" w:hAnsiTheme="majorHAnsi" w:cstheme="majorHAnsi"/>
          <w:sz w:val="24"/>
          <w:szCs w:val="24"/>
          <w:lang w:val="en"/>
        </w:rPr>
        <w:t xml:space="preserve">conduct an appropriate and participatory process that guarantees the right to consultation, especially in regard to development or large-scale investment </w:t>
      </w:r>
      <w:proofErr w:type="gramStart"/>
      <w:r w:rsidRPr="00F346EC">
        <w:rPr>
          <w:rFonts w:asciiTheme="majorHAnsi" w:hAnsiTheme="majorHAnsi" w:cstheme="majorHAnsi"/>
          <w:sz w:val="24"/>
          <w:szCs w:val="24"/>
          <w:lang w:val="en"/>
        </w:rPr>
        <w:t>plans;</w:t>
      </w:r>
      <w:proofErr w:type="gramEnd"/>
      <w:r w:rsidRPr="00F346EC">
        <w:rPr>
          <w:rFonts w:asciiTheme="majorHAnsi" w:hAnsiTheme="majorHAnsi" w:cstheme="majorHAnsi"/>
          <w:sz w:val="24"/>
          <w:szCs w:val="24"/>
          <w:lang w:val="en"/>
        </w:rPr>
        <w:t xml:space="preserve"> </w:t>
      </w:r>
    </w:p>
    <w:p w14:paraId="58CBF5F2" w14:textId="6D1C3F31" w:rsidR="00AF6565" w:rsidRDefault="0040462A" w:rsidP="00AF6565">
      <w:pPr>
        <w:pStyle w:val="ListParagraph"/>
        <w:numPr>
          <w:ilvl w:val="0"/>
          <w:numId w:val="1"/>
        </w:numPr>
        <w:spacing w:after="0"/>
        <w:rPr>
          <w:rFonts w:asciiTheme="majorHAnsi" w:hAnsiTheme="majorHAnsi" w:cstheme="majorHAnsi"/>
          <w:sz w:val="24"/>
          <w:szCs w:val="24"/>
          <w:lang w:val="en"/>
        </w:rPr>
      </w:pPr>
      <w:r w:rsidRPr="00F346EC">
        <w:rPr>
          <w:rFonts w:asciiTheme="majorHAnsi" w:hAnsiTheme="majorHAnsi" w:cstheme="majorHAnsi"/>
          <w:sz w:val="24"/>
          <w:szCs w:val="24"/>
          <w:lang w:val="en"/>
        </w:rPr>
        <w:t xml:space="preserve">conduct an environmental impact assessment, and </w:t>
      </w:r>
    </w:p>
    <w:p w14:paraId="2788BE99" w14:textId="0D44B24F" w:rsidR="0040462A" w:rsidRDefault="0040462A" w:rsidP="00AF6565">
      <w:pPr>
        <w:pStyle w:val="ListParagraph"/>
        <w:numPr>
          <w:ilvl w:val="0"/>
          <w:numId w:val="1"/>
        </w:numPr>
        <w:spacing w:after="0"/>
        <w:rPr>
          <w:rFonts w:asciiTheme="majorHAnsi" w:hAnsiTheme="majorHAnsi" w:cstheme="majorHAnsi"/>
          <w:sz w:val="24"/>
          <w:szCs w:val="24"/>
          <w:lang w:val="en"/>
        </w:rPr>
      </w:pPr>
      <w:r w:rsidRPr="00F346EC">
        <w:rPr>
          <w:rFonts w:asciiTheme="majorHAnsi" w:hAnsiTheme="majorHAnsi" w:cstheme="majorHAnsi"/>
          <w:sz w:val="24"/>
          <w:szCs w:val="24"/>
          <w:lang w:val="en"/>
        </w:rPr>
        <w:t>as appropriate, reasonably share the benefits produced by the exploitation of natural resources (as a form of just compensation required by Article 21 of the Convention), taking into consideration that the community itself will determine and decide who the beneficiaries of this compensation will be, according to their customs and traditions</w:t>
      </w:r>
      <w:r w:rsidR="00AF6565">
        <w:rPr>
          <w:rFonts w:asciiTheme="majorHAnsi" w:hAnsiTheme="majorHAnsi" w:cstheme="majorHAnsi"/>
          <w:sz w:val="24"/>
          <w:szCs w:val="24"/>
          <w:lang w:val="en"/>
        </w:rPr>
        <w:t>.</w:t>
      </w:r>
      <w:r w:rsidR="004E1718">
        <w:rPr>
          <w:rStyle w:val="FootnoteReference"/>
          <w:rFonts w:asciiTheme="majorHAnsi" w:hAnsiTheme="majorHAnsi" w:cstheme="majorHAnsi"/>
          <w:sz w:val="24"/>
          <w:szCs w:val="24"/>
          <w:lang w:val="en"/>
        </w:rPr>
        <w:footnoteReference w:id="17"/>
      </w:r>
    </w:p>
    <w:p w14:paraId="771C3679" w14:textId="77777777" w:rsidR="00AF6565" w:rsidRDefault="00AF6565" w:rsidP="00AF6565">
      <w:pPr>
        <w:pStyle w:val="ListParagraph"/>
        <w:spacing w:after="0"/>
        <w:ind w:left="0"/>
        <w:rPr>
          <w:rFonts w:asciiTheme="majorHAnsi" w:hAnsiTheme="majorHAnsi" w:cstheme="majorHAnsi"/>
          <w:sz w:val="24"/>
          <w:szCs w:val="24"/>
          <w:lang w:val="en"/>
        </w:rPr>
      </w:pPr>
    </w:p>
    <w:p w14:paraId="054AAF08" w14:textId="77777777" w:rsidR="00AF6565" w:rsidRPr="00AE3F9B" w:rsidRDefault="00AF6565" w:rsidP="00AF6565">
      <w:pPr>
        <w:rPr>
          <w:rFonts w:cs="Calibri"/>
          <w:b/>
          <w:bCs/>
        </w:rPr>
      </w:pPr>
      <w:r>
        <w:rPr>
          <w:b/>
          <w:bCs/>
          <w:lang w:val="en"/>
        </w:rPr>
        <w:t>PRINCIPLE 11</w:t>
      </w:r>
    </w:p>
    <w:p w14:paraId="16042D95" w14:textId="6170DEE8" w:rsidR="00AF6565" w:rsidRPr="00AF6565" w:rsidRDefault="00AF6565" w:rsidP="00AF6565">
      <w:pPr>
        <w:spacing w:line="360" w:lineRule="auto"/>
        <w:rPr>
          <w:rFonts w:cs="Calibri"/>
          <w:b/>
          <w:bCs/>
        </w:rPr>
      </w:pPr>
      <w:r>
        <w:rPr>
          <w:b/>
          <w:bCs/>
          <w:lang w:val="en"/>
        </w:rPr>
        <w:t xml:space="preserve">RESPECT THE AUTHORITIES AND </w:t>
      </w:r>
      <w:r>
        <w:rPr>
          <w:b/>
          <w:bCs/>
          <w:lang w:val="en"/>
        </w:rPr>
        <w:t>DECISION-MAKING</w:t>
      </w:r>
      <w:r>
        <w:rPr>
          <w:b/>
          <w:bCs/>
          <w:lang w:val="en"/>
        </w:rPr>
        <w:t xml:space="preserve"> PROCESS OF EACH VILLAGE/COMMUNITY</w:t>
      </w:r>
    </w:p>
    <w:p w14:paraId="233B54A6" w14:textId="7ADE2549" w:rsidR="00AF6565" w:rsidRDefault="00AF6565" w:rsidP="00AF6565">
      <w:pPr>
        <w:pStyle w:val="ListParagraph"/>
        <w:spacing w:after="0"/>
        <w:ind w:left="0"/>
        <w:rPr>
          <w:rFonts w:asciiTheme="majorHAnsi" w:hAnsiTheme="majorHAnsi" w:cstheme="majorHAnsi"/>
          <w:sz w:val="24"/>
          <w:szCs w:val="24"/>
          <w:lang w:val="en"/>
        </w:rPr>
      </w:pPr>
      <w:r w:rsidRPr="00DD4741">
        <w:rPr>
          <w:rFonts w:asciiTheme="majorHAnsi" w:hAnsiTheme="majorHAnsi" w:cstheme="majorHAnsi"/>
          <w:sz w:val="24"/>
          <w:szCs w:val="24"/>
          <w:lang w:val="en"/>
        </w:rPr>
        <w:t xml:space="preserve">It is the obligation of the State to carry out consultation processes that respect the decision-making system of each tribe or </w:t>
      </w:r>
      <w:r>
        <w:rPr>
          <w:rFonts w:asciiTheme="majorHAnsi" w:hAnsiTheme="majorHAnsi" w:cstheme="majorHAnsi"/>
          <w:sz w:val="24"/>
          <w:szCs w:val="24"/>
          <w:lang w:val="en"/>
        </w:rPr>
        <w:t>indigenous people</w:t>
      </w:r>
      <w:r w:rsidRPr="00DD4741">
        <w:rPr>
          <w:rFonts w:asciiTheme="majorHAnsi" w:hAnsiTheme="majorHAnsi" w:cstheme="majorHAnsi"/>
          <w:sz w:val="24"/>
          <w:szCs w:val="24"/>
          <w:lang w:val="en"/>
        </w:rPr>
        <w:t xml:space="preserve"> so that an adequate and effective relationship is established with other state authorities, social or political actors, and interested third parties</w:t>
      </w:r>
      <w:r>
        <w:rPr>
          <w:rFonts w:asciiTheme="majorHAnsi" w:hAnsiTheme="majorHAnsi" w:cstheme="majorHAnsi"/>
          <w:sz w:val="24"/>
          <w:szCs w:val="24"/>
          <w:lang w:val="en"/>
        </w:rPr>
        <w:t>.</w:t>
      </w:r>
      <w:r w:rsidR="004E1718">
        <w:rPr>
          <w:rStyle w:val="FootnoteReference"/>
          <w:rFonts w:asciiTheme="majorHAnsi" w:hAnsiTheme="majorHAnsi" w:cstheme="majorHAnsi"/>
          <w:sz w:val="24"/>
          <w:szCs w:val="24"/>
          <w:lang w:val="en"/>
        </w:rPr>
        <w:footnoteReference w:id="18"/>
      </w:r>
    </w:p>
    <w:p w14:paraId="1A051303" w14:textId="4FB7282A" w:rsidR="00AF6565" w:rsidRDefault="00AF6565" w:rsidP="00AF6565">
      <w:pPr>
        <w:pStyle w:val="ListParagraph"/>
        <w:spacing w:after="0"/>
        <w:ind w:left="0"/>
        <w:rPr>
          <w:rFonts w:asciiTheme="majorHAnsi" w:hAnsiTheme="majorHAnsi" w:cstheme="majorHAnsi"/>
          <w:sz w:val="24"/>
          <w:szCs w:val="24"/>
          <w:lang w:val="en"/>
        </w:rPr>
      </w:pPr>
    </w:p>
    <w:p w14:paraId="408CB770" w14:textId="3F656818" w:rsidR="00AF6565" w:rsidRDefault="00AF6565" w:rsidP="00AF6565">
      <w:pPr>
        <w:pStyle w:val="ListParagraph"/>
        <w:spacing w:after="0"/>
        <w:ind w:left="0"/>
        <w:rPr>
          <w:rFonts w:asciiTheme="majorHAnsi" w:hAnsiTheme="majorHAnsi" w:cstheme="majorHAnsi"/>
          <w:sz w:val="24"/>
          <w:szCs w:val="24"/>
          <w:lang w:val="en"/>
        </w:rPr>
      </w:pPr>
      <w:r w:rsidRPr="00DD4741">
        <w:rPr>
          <w:rFonts w:asciiTheme="majorHAnsi" w:hAnsiTheme="majorHAnsi" w:cstheme="majorHAnsi"/>
          <w:sz w:val="24"/>
          <w:szCs w:val="24"/>
          <w:lang w:val="en"/>
        </w:rPr>
        <w:t>It is necessary to respect the structures of authority and representativeness with both internal and external actors of the communities</w:t>
      </w:r>
      <w:r>
        <w:rPr>
          <w:rFonts w:asciiTheme="majorHAnsi" w:hAnsiTheme="majorHAnsi" w:cstheme="majorHAnsi"/>
          <w:sz w:val="24"/>
          <w:szCs w:val="24"/>
          <w:lang w:val="en"/>
        </w:rPr>
        <w:t>.</w:t>
      </w:r>
      <w:r w:rsidR="004E1718">
        <w:rPr>
          <w:rStyle w:val="FootnoteReference"/>
          <w:rFonts w:asciiTheme="majorHAnsi" w:hAnsiTheme="majorHAnsi" w:cstheme="majorHAnsi"/>
          <w:sz w:val="24"/>
          <w:szCs w:val="24"/>
          <w:lang w:val="en"/>
        </w:rPr>
        <w:footnoteReference w:id="19"/>
      </w:r>
      <w:r>
        <w:rPr>
          <w:rFonts w:asciiTheme="majorHAnsi" w:hAnsiTheme="majorHAnsi" w:cstheme="majorHAnsi"/>
          <w:sz w:val="24"/>
          <w:szCs w:val="24"/>
          <w:lang w:val="en"/>
        </w:rPr>
        <w:t xml:space="preserve"> </w:t>
      </w:r>
      <w:r w:rsidRPr="00DD4741">
        <w:rPr>
          <w:rFonts w:asciiTheme="majorHAnsi" w:hAnsiTheme="majorHAnsi" w:cstheme="majorHAnsi"/>
          <w:sz w:val="24"/>
          <w:szCs w:val="24"/>
          <w:lang w:val="en"/>
        </w:rPr>
        <w:t>[T]he State has the duty to consult actively with each community, according to its customs and traditions</w:t>
      </w:r>
      <w:r>
        <w:rPr>
          <w:rFonts w:asciiTheme="majorHAnsi" w:hAnsiTheme="majorHAnsi" w:cstheme="majorHAnsi"/>
          <w:sz w:val="24"/>
          <w:szCs w:val="24"/>
          <w:lang w:val="en"/>
        </w:rPr>
        <w:t>.</w:t>
      </w:r>
      <w:r w:rsidR="004E1718">
        <w:rPr>
          <w:rStyle w:val="FootnoteReference"/>
          <w:rFonts w:asciiTheme="majorHAnsi" w:hAnsiTheme="majorHAnsi" w:cstheme="majorHAnsi"/>
          <w:sz w:val="24"/>
          <w:szCs w:val="24"/>
          <w:lang w:val="en"/>
        </w:rPr>
        <w:footnoteReference w:id="20"/>
      </w:r>
    </w:p>
    <w:p w14:paraId="41E24A80" w14:textId="2150E612" w:rsidR="00AF6565" w:rsidRDefault="00AF6565" w:rsidP="00AF6565">
      <w:pPr>
        <w:pStyle w:val="ListParagraph"/>
        <w:spacing w:after="0"/>
        <w:ind w:left="0"/>
        <w:rPr>
          <w:rFonts w:asciiTheme="majorHAnsi" w:hAnsiTheme="majorHAnsi" w:cstheme="majorHAnsi"/>
          <w:sz w:val="24"/>
          <w:szCs w:val="24"/>
          <w:lang w:val="en"/>
        </w:rPr>
      </w:pPr>
    </w:p>
    <w:p w14:paraId="379A326A" w14:textId="77777777" w:rsidR="00AF6565" w:rsidRPr="006C54CE" w:rsidRDefault="00AF6565" w:rsidP="00AF6565">
      <w:pPr>
        <w:rPr>
          <w:rFonts w:cs="Calibri"/>
          <w:b/>
          <w:bCs/>
        </w:rPr>
      </w:pPr>
      <w:r w:rsidRPr="006C54CE">
        <w:rPr>
          <w:b/>
          <w:bCs/>
        </w:rPr>
        <w:t>PRINCIPLE 12</w:t>
      </w:r>
    </w:p>
    <w:p w14:paraId="318CEBBE" w14:textId="77777777" w:rsidR="00AF6565" w:rsidRPr="00AE3F9B" w:rsidRDefault="00AF6565" w:rsidP="00AF6565">
      <w:pPr>
        <w:spacing w:line="360" w:lineRule="auto"/>
        <w:rPr>
          <w:rFonts w:cs="Calibri"/>
          <w:b/>
          <w:bCs/>
        </w:rPr>
      </w:pPr>
      <w:r>
        <w:rPr>
          <w:b/>
          <w:bCs/>
          <w:lang w:val="en"/>
        </w:rPr>
        <w:t>PROTECTION OF THE COMMUNITY</w:t>
      </w:r>
    </w:p>
    <w:p w14:paraId="379704A6" w14:textId="6E47BC54" w:rsidR="00AF6565" w:rsidRDefault="00AF6565" w:rsidP="00AF6565">
      <w:pPr>
        <w:pStyle w:val="ListParagraph"/>
        <w:spacing w:after="0"/>
        <w:ind w:left="0"/>
        <w:rPr>
          <w:rFonts w:asciiTheme="majorHAnsi" w:hAnsiTheme="majorHAnsi" w:cstheme="majorHAnsi"/>
          <w:sz w:val="24"/>
          <w:szCs w:val="24"/>
        </w:rPr>
      </w:pPr>
      <w:r w:rsidRPr="00812368">
        <w:rPr>
          <w:rFonts w:asciiTheme="majorHAnsi" w:hAnsiTheme="majorHAnsi" w:cstheme="majorHAnsi"/>
          <w:sz w:val="24"/>
          <w:szCs w:val="24"/>
        </w:rPr>
        <w:t xml:space="preserve">The States must protect the community from third-party activities that aim to divide or interfere with their decision-making processes, such as offering money or other economic benefits to members of the community to obtain their consent, entering into secret agreements with members of the indigenous or tribal </w:t>
      </w:r>
      <w:r w:rsidRPr="00812368">
        <w:rPr>
          <w:rFonts w:asciiTheme="majorHAnsi" w:hAnsiTheme="majorHAnsi" w:cstheme="majorHAnsi"/>
          <w:sz w:val="24"/>
          <w:szCs w:val="24"/>
        </w:rPr>
        <w:t>group, or</w:t>
      </w:r>
      <w:r w:rsidRPr="00812368">
        <w:rPr>
          <w:rFonts w:asciiTheme="majorHAnsi" w:hAnsiTheme="majorHAnsi" w:cstheme="majorHAnsi"/>
          <w:sz w:val="24"/>
          <w:szCs w:val="24"/>
        </w:rPr>
        <w:t xml:space="preserve"> carrying out activities of exploration and exploitation of natural resources in a way that affects their right to consultation or to other Rights.</w:t>
      </w:r>
      <w:r w:rsidR="004E1718">
        <w:rPr>
          <w:rStyle w:val="FootnoteReference"/>
          <w:rFonts w:asciiTheme="majorHAnsi" w:hAnsiTheme="majorHAnsi" w:cstheme="majorHAnsi"/>
          <w:sz w:val="24"/>
          <w:szCs w:val="24"/>
        </w:rPr>
        <w:footnoteReference w:id="21"/>
      </w:r>
    </w:p>
    <w:p w14:paraId="24EC650E" w14:textId="1BED86B5" w:rsidR="00AF6565" w:rsidRDefault="00AF6565" w:rsidP="00AF6565">
      <w:pPr>
        <w:pStyle w:val="ListParagraph"/>
        <w:spacing w:after="0"/>
        <w:ind w:left="0"/>
        <w:rPr>
          <w:rFonts w:asciiTheme="majorHAnsi" w:hAnsiTheme="majorHAnsi" w:cstheme="majorHAnsi"/>
          <w:sz w:val="24"/>
          <w:szCs w:val="24"/>
        </w:rPr>
      </w:pPr>
    </w:p>
    <w:p w14:paraId="02557F36" w14:textId="195C4415" w:rsidR="00AF6565" w:rsidRPr="006C54CE" w:rsidRDefault="00AF6565" w:rsidP="006C54CE">
      <w:pPr>
        <w:rPr>
          <w:rFonts w:ascii="Calibri" w:hAnsi="Calibri" w:cs="Calibri"/>
          <w:i/>
          <w:iCs/>
        </w:rPr>
      </w:pPr>
      <w:r w:rsidRPr="006C54CE">
        <w:rPr>
          <w:rFonts w:ascii="Calibri" w:hAnsi="Calibri" w:cs="Calibri"/>
          <w:i/>
          <w:iCs/>
          <w:lang w:val="en"/>
        </w:rPr>
        <w:t>We express our appreciation to colleagues and experts who have reviewed this document and offered their comments.</w:t>
      </w:r>
    </w:p>
    <w:sectPr w:rsidR="00AF6565" w:rsidRPr="006C54CE" w:rsidSect="00405B7A">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4A56" w14:textId="77777777" w:rsidR="00012F6B" w:rsidRDefault="00012F6B" w:rsidP="009E35BE">
      <w:r>
        <w:separator/>
      </w:r>
    </w:p>
  </w:endnote>
  <w:endnote w:type="continuationSeparator" w:id="0">
    <w:p w14:paraId="5233349C" w14:textId="77777777" w:rsidR="00012F6B" w:rsidRDefault="00012F6B" w:rsidP="009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457222"/>
      <w:docPartObj>
        <w:docPartGallery w:val="Page Numbers (Bottom of Page)"/>
        <w:docPartUnique/>
      </w:docPartObj>
    </w:sdtPr>
    <w:sdtContent>
      <w:p w14:paraId="517B6644" w14:textId="4AD7D617" w:rsidR="009E35BE" w:rsidRDefault="009E35BE" w:rsidP="007543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2B4D9C" w14:textId="77777777" w:rsidR="009E35BE" w:rsidRDefault="009E3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210229"/>
      <w:docPartObj>
        <w:docPartGallery w:val="Page Numbers (Bottom of Page)"/>
        <w:docPartUnique/>
      </w:docPartObj>
    </w:sdtPr>
    <w:sdtContent>
      <w:p w14:paraId="553D1B81" w14:textId="4AC50ACF" w:rsidR="009E35BE" w:rsidRDefault="009E35BE" w:rsidP="007543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4E61D6" w14:textId="77777777" w:rsidR="009E35BE" w:rsidRDefault="009E3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3156446"/>
      <w:docPartObj>
        <w:docPartGallery w:val="Page Numbers (Bottom of Page)"/>
        <w:docPartUnique/>
      </w:docPartObj>
    </w:sdtPr>
    <w:sdtContent>
      <w:p w14:paraId="12343E2D" w14:textId="2F244055" w:rsidR="009E35BE" w:rsidRDefault="009E35BE" w:rsidP="007543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12F8E" w14:textId="77777777" w:rsidR="009E35BE" w:rsidRDefault="009E35BE" w:rsidP="009E35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2B8D" w14:textId="77777777" w:rsidR="00012F6B" w:rsidRDefault="00012F6B" w:rsidP="009E35BE">
      <w:r>
        <w:separator/>
      </w:r>
    </w:p>
  </w:footnote>
  <w:footnote w:type="continuationSeparator" w:id="0">
    <w:p w14:paraId="61454BAE" w14:textId="77777777" w:rsidR="00012F6B" w:rsidRDefault="00012F6B" w:rsidP="009E35BE">
      <w:r>
        <w:continuationSeparator/>
      </w:r>
    </w:p>
  </w:footnote>
  <w:footnote w:id="1">
    <w:p w14:paraId="2B900CFF" w14:textId="73A5E425" w:rsidR="0048585D" w:rsidRPr="004E1718" w:rsidRDefault="0048585D">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rPr>
        <w:t xml:space="preserve">This document was written by Luke Danielson and Jose Mozo </w:t>
      </w:r>
      <w:proofErr w:type="spellStart"/>
      <w:r w:rsidRPr="004E1718">
        <w:rPr>
          <w:rFonts w:cstheme="minorHAnsi"/>
          <w:sz w:val="18"/>
          <w:szCs w:val="18"/>
        </w:rPr>
        <w:t>Hormann</w:t>
      </w:r>
      <w:proofErr w:type="spellEnd"/>
      <w:r w:rsidRPr="004E1718">
        <w:rPr>
          <w:rFonts w:cstheme="minorHAnsi"/>
          <w:sz w:val="18"/>
          <w:szCs w:val="18"/>
        </w:rPr>
        <w:t xml:space="preserve"> of SDSG, with valuable advice from colleagues inside and outside of SDSG</w:t>
      </w:r>
      <w:r w:rsidRPr="004E1718">
        <w:rPr>
          <w:rFonts w:cstheme="minorHAnsi"/>
          <w:sz w:val="18"/>
          <w:szCs w:val="18"/>
        </w:rPr>
        <w:t>.</w:t>
      </w:r>
    </w:p>
  </w:footnote>
  <w:footnote w:id="2">
    <w:p w14:paraId="2A9CA56A" w14:textId="555687D5" w:rsidR="0048585D" w:rsidRPr="004E1718" w:rsidRDefault="0048585D">
      <w:pPr>
        <w:pStyle w:val="FootnoteText"/>
        <w:rPr>
          <w:sz w:val="18"/>
          <w:szCs w:val="18"/>
        </w:rPr>
      </w:pPr>
      <w:r w:rsidRPr="004E1718">
        <w:rPr>
          <w:rStyle w:val="FootnoteReference"/>
          <w:sz w:val="18"/>
          <w:szCs w:val="18"/>
        </w:rPr>
        <w:footnoteRef/>
      </w:r>
      <w:r w:rsidRPr="004E1718">
        <w:rPr>
          <w:sz w:val="18"/>
          <w:szCs w:val="18"/>
        </w:rPr>
        <w:t xml:space="preserve"> </w:t>
      </w:r>
      <w:r w:rsidRPr="004E1718">
        <w:rPr>
          <w:sz w:val="18"/>
          <w:szCs w:val="18"/>
        </w:rPr>
        <w:t xml:space="preserve">Our forthcoming book, </w:t>
      </w:r>
      <w:r w:rsidRPr="004E1718">
        <w:rPr>
          <w:i/>
          <w:iCs/>
          <w:sz w:val="18"/>
          <w:szCs w:val="18"/>
        </w:rPr>
        <w:t xml:space="preserve">El Camino </w:t>
      </w:r>
      <w:proofErr w:type="spellStart"/>
      <w:r w:rsidRPr="004E1718">
        <w:rPr>
          <w:i/>
          <w:iCs/>
          <w:sz w:val="18"/>
          <w:szCs w:val="18"/>
        </w:rPr>
        <w:t>Hacia</w:t>
      </w:r>
      <w:proofErr w:type="spellEnd"/>
      <w:r w:rsidRPr="004E1718">
        <w:rPr>
          <w:i/>
          <w:iCs/>
          <w:sz w:val="18"/>
          <w:szCs w:val="18"/>
        </w:rPr>
        <w:t xml:space="preserve"> la Paz y Desarrollo</w:t>
      </w:r>
      <w:r w:rsidRPr="004E1718">
        <w:rPr>
          <w:sz w:val="18"/>
          <w:szCs w:val="18"/>
        </w:rPr>
        <w:t xml:space="preserve">, will be published in February of 2023 by the Human Rights Institute of the University of </w:t>
      </w:r>
      <w:proofErr w:type="spellStart"/>
      <w:r w:rsidRPr="004E1718">
        <w:rPr>
          <w:sz w:val="18"/>
          <w:szCs w:val="18"/>
        </w:rPr>
        <w:t>Deusto</w:t>
      </w:r>
      <w:proofErr w:type="spellEnd"/>
      <w:r w:rsidRPr="004E1718">
        <w:rPr>
          <w:sz w:val="18"/>
          <w:szCs w:val="18"/>
        </w:rPr>
        <w:t>.</w:t>
      </w:r>
    </w:p>
  </w:footnote>
  <w:footnote w:id="3">
    <w:p w14:paraId="07999C93" w14:textId="4DF88DBC" w:rsidR="0048585D" w:rsidRDefault="0048585D">
      <w:pPr>
        <w:pStyle w:val="FootnoteText"/>
      </w:pPr>
      <w:r w:rsidRPr="004E1718">
        <w:rPr>
          <w:rStyle w:val="FootnoteReference"/>
          <w:sz w:val="18"/>
          <w:szCs w:val="18"/>
        </w:rPr>
        <w:footnoteRef/>
      </w:r>
      <w:r w:rsidRPr="004E1718">
        <w:rPr>
          <w:sz w:val="18"/>
          <w:szCs w:val="18"/>
        </w:rPr>
        <w:t xml:space="preserve"> </w:t>
      </w:r>
      <w:r w:rsidRPr="004E1718">
        <w:rPr>
          <w:rFonts w:cstheme="minorHAnsi"/>
          <w:sz w:val="18"/>
          <w:szCs w:val="18"/>
        </w:rPr>
        <w:t>It is worth noting that the Inter-American Court indicated that the Pact of San Jose is also a source of obligation with respect to (</w:t>
      </w:r>
      <w:proofErr w:type="spellStart"/>
      <w:r w:rsidRPr="004E1718">
        <w:rPr>
          <w:rFonts w:cstheme="minorHAnsi"/>
          <w:i/>
          <w:iCs/>
          <w:sz w:val="18"/>
          <w:szCs w:val="18"/>
        </w:rPr>
        <w:t>Saramaka</w:t>
      </w:r>
      <w:proofErr w:type="spellEnd"/>
      <w:r w:rsidRPr="004E1718">
        <w:rPr>
          <w:rFonts w:cstheme="minorHAnsi"/>
          <w:i/>
          <w:iCs/>
          <w:sz w:val="18"/>
          <w:szCs w:val="18"/>
        </w:rPr>
        <w:t xml:space="preserve"> vs Suriname</w:t>
      </w:r>
      <w:r w:rsidRPr="004E1718">
        <w:rPr>
          <w:rFonts w:cstheme="minorHAnsi"/>
          <w:sz w:val="18"/>
          <w:szCs w:val="18"/>
        </w:rPr>
        <w:t xml:space="preserve"> Recital 93)</w:t>
      </w:r>
      <w:r w:rsidR="00090B2C" w:rsidRPr="004E1718">
        <w:rPr>
          <w:rFonts w:cstheme="minorHAnsi"/>
          <w:sz w:val="18"/>
          <w:szCs w:val="18"/>
        </w:rPr>
        <w:t>.</w:t>
      </w:r>
    </w:p>
  </w:footnote>
  <w:footnote w:id="4">
    <w:p w14:paraId="441AB542" w14:textId="31EDFDCD" w:rsidR="00090B2C" w:rsidRPr="004E1718" w:rsidRDefault="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lang w:val="en"/>
        </w:rPr>
        <w:t>ILO Convention 169 Art</w:t>
      </w:r>
      <w:r w:rsidRPr="004E1718">
        <w:rPr>
          <w:rFonts w:cstheme="minorHAnsi"/>
          <w:sz w:val="18"/>
          <w:szCs w:val="18"/>
          <w:lang w:val="en"/>
        </w:rPr>
        <w:t>.</w:t>
      </w:r>
      <w:r w:rsidRPr="004E1718">
        <w:rPr>
          <w:rFonts w:cstheme="minorHAnsi"/>
          <w:sz w:val="18"/>
          <w:szCs w:val="18"/>
          <w:lang w:val="en"/>
        </w:rPr>
        <w:t xml:space="preserve"> 6 (a)</w:t>
      </w:r>
      <w:r w:rsidRPr="004E1718">
        <w:rPr>
          <w:rStyle w:val="CommentReference"/>
          <w:sz w:val="18"/>
          <w:szCs w:val="18"/>
        </w:rPr>
        <w:t/>
      </w:r>
    </w:p>
  </w:footnote>
  <w:footnote w:id="5">
    <w:p w14:paraId="68FB2B73" w14:textId="56E108C3" w:rsidR="00090B2C" w:rsidRPr="004E1718" w:rsidRDefault="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sz w:val="18"/>
          <w:szCs w:val="18"/>
          <w:lang w:val="en"/>
        </w:rPr>
        <w:t xml:space="preserve">“Understanding the Indigenous and Tribal Peoples Convention, 1989 (No. 169) - Handbook for ILO Tripartite Constituents" available at  </w:t>
      </w:r>
      <w:hyperlink r:id="rId1" w:history="1">
        <w:r w:rsidRPr="004E1718">
          <w:rPr>
            <w:rStyle w:val="Hyperlink"/>
            <w:sz w:val="18"/>
            <w:szCs w:val="18"/>
            <w:lang w:val="en"/>
          </w:rPr>
          <w:t>https://www.ilo.org/global/standards/subjects-covered-by-international-labour-standards/indigenous-and-tribal-peoples/WCMS_205230/lang--es/index.htm</w:t>
        </w:r>
      </w:hyperlink>
      <w:r w:rsidRPr="004E1718">
        <w:rPr>
          <w:rStyle w:val="Hyperlink"/>
          <w:sz w:val="18"/>
          <w:szCs w:val="18"/>
          <w:lang w:val="en"/>
        </w:rPr>
        <w:t>.</w:t>
      </w:r>
    </w:p>
  </w:footnote>
  <w:footnote w:id="6">
    <w:p w14:paraId="2AC95A78" w14:textId="72F81296" w:rsidR="00090B2C" w:rsidRPr="004E1718" w:rsidRDefault="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lang w:val="en"/>
        </w:rPr>
        <w:t>ILO Convention 169 A</w:t>
      </w:r>
      <w:r w:rsidRPr="004E1718">
        <w:rPr>
          <w:sz w:val="18"/>
          <w:szCs w:val="18"/>
        </w:rPr>
        <w:t>rt. 7</w:t>
      </w:r>
      <w:r w:rsidRPr="004E1718">
        <w:rPr>
          <w:sz w:val="18"/>
          <w:szCs w:val="18"/>
        </w:rPr>
        <w:t xml:space="preserve"> </w:t>
      </w:r>
      <w:r w:rsidRPr="004E1718">
        <w:rPr>
          <w:sz w:val="18"/>
          <w:szCs w:val="18"/>
        </w:rPr>
        <w:t>(1)</w:t>
      </w:r>
      <w:r w:rsidRPr="004E1718">
        <w:rPr>
          <w:rStyle w:val="CommentReference"/>
          <w:sz w:val="18"/>
          <w:szCs w:val="18"/>
        </w:rPr>
        <w:t/>
      </w:r>
    </w:p>
  </w:footnote>
  <w:footnote w:id="7">
    <w:p w14:paraId="184A435B" w14:textId="2AA40F9F" w:rsidR="00090B2C" w:rsidRPr="004E1718" w:rsidRDefault="00090B2C" w:rsidP="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lang w:val="en"/>
        </w:rPr>
        <w:t>ILO Convention 169 A</w:t>
      </w:r>
      <w:r w:rsidRPr="004E1718">
        <w:rPr>
          <w:sz w:val="18"/>
          <w:szCs w:val="18"/>
        </w:rPr>
        <w:t xml:space="preserve">rt. </w:t>
      </w:r>
      <w:r w:rsidRPr="004E1718">
        <w:rPr>
          <w:sz w:val="18"/>
          <w:szCs w:val="18"/>
        </w:rPr>
        <w:t xml:space="preserve">1 </w:t>
      </w:r>
      <w:r w:rsidRPr="004E1718">
        <w:rPr>
          <w:sz w:val="18"/>
          <w:szCs w:val="18"/>
        </w:rPr>
        <w:t>(</w:t>
      </w:r>
      <w:r w:rsidRPr="004E1718">
        <w:rPr>
          <w:sz w:val="18"/>
          <w:szCs w:val="18"/>
        </w:rPr>
        <w:t>2</w:t>
      </w:r>
      <w:r w:rsidRPr="004E1718">
        <w:rPr>
          <w:sz w:val="18"/>
          <w:szCs w:val="18"/>
        </w:rPr>
        <w:t>)</w:t>
      </w:r>
      <w:r w:rsidRPr="004E1718">
        <w:rPr>
          <w:rStyle w:val="CommentReference"/>
          <w:sz w:val="18"/>
          <w:szCs w:val="18"/>
        </w:rPr>
        <w:t/>
      </w:r>
    </w:p>
    <w:p w14:paraId="718D2799" w14:textId="38439131" w:rsidR="00090B2C" w:rsidRDefault="00090B2C">
      <w:pPr>
        <w:pStyle w:val="FootnoteText"/>
      </w:pPr>
    </w:p>
  </w:footnote>
  <w:footnote w:id="8">
    <w:p w14:paraId="0C189D57" w14:textId="2C28C88E" w:rsidR="00090B2C" w:rsidRPr="004E1718" w:rsidRDefault="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lang w:val="en"/>
        </w:rPr>
        <w:t>Sarayaku ¶177, 185-187</w:t>
      </w:r>
    </w:p>
  </w:footnote>
  <w:footnote w:id="9">
    <w:p w14:paraId="3304A429" w14:textId="02ADB1F4" w:rsidR="00090B2C" w:rsidRPr="004E1718" w:rsidRDefault="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lang w:val="en"/>
        </w:rPr>
        <w:t>Articles 8 to 16 Law Prior Consultation of Peru and 14 to 26 of the Regulation of Prior Consultation defines seven stages of consultation.</w:t>
      </w:r>
      <w:r w:rsidRPr="004E1718">
        <w:rPr>
          <w:rStyle w:val="CommentReference"/>
          <w:sz w:val="18"/>
          <w:szCs w:val="18"/>
        </w:rPr>
        <w:t/>
      </w:r>
    </w:p>
  </w:footnote>
  <w:footnote w:id="10">
    <w:p w14:paraId="2C2E8650" w14:textId="0CD37344" w:rsidR="00090B2C" w:rsidRPr="004E1718" w:rsidRDefault="00090B2C">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rPr>
        <w:t>Sarayaku ¶ 208</w:t>
      </w:r>
    </w:p>
  </w:footnote>
  <w:footnote w:id="11">
    <w:p w14:paraId="5820E669" w14:textId="0953D891"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rPr>
        <w:t>Sarayaku ¶ 208</w:t>
      </w:r>
    </w:p>
  </w:footnote>
  <w:footnote w:id="12">
    <w:p w14:paraId="75D04558" w14:textId="07FFAFB8" w:rsidR="004E1718" w:rsidRDefault="004E1718">
      <w:pPr>
        <w:pStyle w:val="FootnoteText"/>
      </w:pPr>
      <w:r w:rsidRPr="004E1718">
        <w:rPr>
          <w:rStyle w:val="FootnoteReference"/>
          <w:sz w:val="18"/>
          <w:szCs w:val="18"/>
        </w:rPr>
        <w:footnoteRef/>
      </w:r>
      <w:r w:rsidRPr="004E1718">
        <w:rPr>
          <w:sz w:val="18"/>
          <w:szCs w:val="18"/>
        </w:rPr>
        <w:t xml:space="preserve"> </w:t>
      </w:r>
      <w:r w:rsidRPr="004E1718">
        <w:rPr>
          <w:sz w:val="18"/>
          <w:szCs w:val="18"/>
        </w:rPr>
        <w:t>Sarayaku ¶ 177</w:t>
      </w:r>
    </w:p>
  </w:footnote>
  <w:footnote w:id="13">
    <w:p w14:paraId="67B25785" w14:textId="1268F265"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sz w:val="18"/>
          <w:szCs w:val="18"/>
        </w:rPr>
        <w:t>Sarayaku ¶ 180</w:t>
      </w:r>
    </w:p>
  </w:footnote>
  <w:footnote w:id="14">
    <w:p w14:paraId="220F52AB" w14:textId="0CC12CBF"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rPr>
        <w:t>Sarayaku ¶ 187</w:t>
      </w:r>
    </w:p>
  </w:footnote>
  <w:footnote w:id="15">
    <w:p w14:paraId="6DD71740" w14:textId="025EC97B"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rFonts w:cstheme="minorHAnsi"/>
          <w:sz w:val="18"/>
          <w:szCs w:val="18"/>
        </w:rPr>
        <w:t xml:space="preserve">Sarayaku¶ 129 </w:t>
      </w:r>
      <w:r w:rsidRPr="004E1718">
        <w:rPr>
          <w:rStyle w:val="CommentReference"/>
          <w:sz w:val="18"/>
          <w:szCs w:val="18"/>
        </w:rPr>
        <w:t/>
      </w:r>
    </w:p>
  </w:footnote>
  <w:footnote w:id="16">
    <w:p w14:paraId="02C12B80" w14:textId="38F15123" w:rsidR="004E1718" w:rsidRDefault="004E1718">
      <w:pPr>
        <w:pStyle w:val="FootnoteText"/>
      </w:pPr>
      <w:r w:rsidRPr="004E1718">
        <w:rPr>
          <w:rStyle w:val="FootnoteReference"/>
          <w:sz w:val="18"/>
          <w:szCs w:val="18"/>
        </w:rPr>
        <w:footnoteRef/>
      </w:r>
      <w:r w:rsidRPr="004E1718">
        <w:rPr>
          <w:sz w:val="18"/>
          <w:szCs w:val="18"/>
        </w:rPr>
        <w:t xml:space="preserve"> </w:t>
      </w:r>
      <w:r w:rsidRPr="004E1718">
        <w:rPr>
          <w:rFonts w:cstheme="minorHAnsi"/>
          <w:sz w:val="18"/>
          <w:szCs w:val="18"/>
        </w:rPr>
        <w:t>Sarayaku ¶ 177</w:t>
      </w:r>
    </w:p>
  </w:footnote>
  <w:footnote w:id="17">
    <w:p w14:paraId="1F793108" w14:textId="05B15499"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sz w:val="18"/>
          <w:szCs w:val="18"/>
        </w:rPr>
        <w:t>Sarayaku ¶ 157</w:t>
      </w:r>
    </w:p>
  </w:footnote>
  <w:footnote w:id="18">
    <w:p w14:paraId="37496911" w14:textId="1293BD7A"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sz w:val="18"/>
          <w:szCs w:val="18"/>
        </w:rPr>
        <w:t>Sarayaku ¶ 165</w:t>
      </w:r>
    </w:p>
  </w:footnote>
  <w:footnote w:id="19">
    <w:p w14:paraId="70437159" w14:textId="435F712F" w:rsidR="004E1718" w:rsidRPr="004E1718" w:rsidRDefault="004E1718">
      <w:pPr>
        <w:pStyle w:val="FootnoteText"/>
        <w:rPr>
          <w:sz w:val="18"/>
          <w:szCs w:val="18"/>
        </w:rPr>
      </w:pPr>
      <w:r w:rsidRPr="004E1718">
        <w:rPr>
          <w:rStyle w:val="FootnoteReference"/>
          <w:sz w:val="18"/>
          <w:szCs w:val="18"/>
        </w:rPr>
        <w:footnoteRef/>
      </w:r>
      <w:r w:rsidRPr="004E1718">
        <w:rPr>
          <w:sz w:val="18"/>
          <w:szCs w:val="18"/>
        </w:rPr>
        <w:t xml:space="preserve"> </w:t>
      </w:r>
      <w:r w:rsidRPr="004E1718">
        <w:rPr>
          <w:sz w:val="18"/>
          <w:szCs w:val="18"/>
        </w:rPr>
        <w:t>Sarayaku ¶ 194</w:t>
      </w:r>
    </w:p>
  </w:footnote>
  <w:footnote w:id="20">
    <w:p w14:paraId="30573730" w14:textId="38E8B699" w:rsidR="004E1718" w:rsidRDefault="004E1718">
      <w:pPr>
        <w:pStyle w:val="FootnoteText"/>
      </w:pPr>
      <w:r w:rsidRPr="004E1718">
        <w:rPr>
          <w:rStyle w:val="FootnoteReference"/>
          <w:sz w:val="18"/>
          <w:szCs w:val="18"/>
        </w:rPr>
        <w:footnoteRef/>
      </w:r>
      <w:r w:rsidRPr="004E1718">
        <w:rPr>
          <w:sz w:val="18"/>
          <w:szCs w:val="18"/>
        </w:rPr>
        <w:t xml:space="preserve"> </w:t>
      </w:r>
      <w:proofErr w:type="spellStart"/>
      <w:r w:rsidRPr="004E1718">
        <w:rPr>
          <w:sz w:val="18"/>
          <w:szCs w:val="18"/>
        </w:rPr>
        <w:t>Saramaka</w:t>
      </w:r>
      <w:proofErr w:type="spellEnd"/>
      <w:r w:rsidRPr="004E1718">
        <w:rPr>
          <w:sz w:val="18"/>
          <w:szCs w:val="18"/>
        </w:rPr>
        <w:t xml:space="preserve"> ¶ 133</w:t>
      </w:r>
      <w:r w:rsidRPr="00812368">
        <w:t xml:space="preserve"> </w:t>
      </w:r>
      <w:r>
        <w:rPr>
          <w:rStyle w:val="CommentReference"/>
        </w:rPr>
        <w:t/>
      </w:r>
    </w:p>
  </w:footnote>
  <w:footnote w:id="21">
    <w:p w14:paraId="56841FE4" w14:textId="77777777" w:rsidR="004E1718" w:rsidRPr="004E1718" w:rsidRDefault="004E1718" w:rsidP="004E1718">
      <w:pPr>
        <w:pStyle w:val="FootnoteText"/>
        <w:rPr>
          <w:sz w:val="18"/>
          <w:szCs w:val="18"/>
          <w:lang w:val="pt-BR"/>
        </w:rPr>
      </w:pPr>
      <w:r w:rsidRPr="004E1718">
        <w:rPr>
          <w:rStyle w:val="FootnoteReference"/>
          <w:sz w:val="18"/>
          <w:szCs w:val="18"/>
        </w:rPr>
        <w:footnoteRef/>
      </w:r>
      <w:r w:rsidRPr="004E1718">
        <w:rPr>
          <w:sz w:val="18"/>
          <w:szCs w:val="18"/>
        </w:rPr>
        <w:t xml:space="preserve"> </w:t>
      </w:r>
      <w:r w:rsidRPr="004E1718">
        <w:rPr>
          <w:sz w:val="18"/>
          <w:szCs w:val="18"/>
        </w:rPr>
        <w:t>Sarayaku ¶ 261</w:t>
      </w:r>
    </w:p>
    <w:p w14:paraId="5110D3A8" w14:textId="25C852FC" w:rsidR="004E1718" w:rsidRDefault="004E17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D73" w14:textId="3D56661F" w:rsidR="009E35BE" w:rsidRDefault="009E35BE" w:rsidP="009E35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618" w14:textId="776850CB" w:rsidR="009E35BE" w:rsidRDefault="009E35BE" w:rsidP="009E35BE">
    <w:pPr>
      <w:pStyle w:val="Header"/>
      <w:jc w:val="center"/>
    </w:pPr>
    <w:r>
      <w:rPr>
        <w:noProof/>
      </w:rPr>
      <w:drawing>
        <wp:inline distT="0" distB="0" distL="0" distR="0" wp14:anchorId="77F084A3" wp14:editId="32561981">
          <wp:extent cx="3279969" cy="12299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67910" cy="12629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54C4"/>
    <w:multiLevelType w:val="hybridMultilevel"/>
    <w:tmpl w:val="50CC093E"/>
    <w:lvl w:ilvl="0" w:tplc="A760A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205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BE"/>
    <w:rsid w:val="00012F6B"/>
    <w:rsid w:val="00090B2C"/>
    <w:rsid w:val="000A6BD5"/>
    <w:rsid w:val="0040462A"/>
    <w:rsid w:val="00405B7A"/>
    <w:rsid w:val="00427ACF"/>
    <w:rsid w:val="0048585D"/>
    <w:rsid w:val="004E1718"/>
    <w:rsid w:val="006C54CE"/>
    <w:rsid w:val="00754367"/>
    <w:rsid w:val="00962D78"/>
    <w:rsid w:val="009E35BE"/>
    <w:rsid w:val="00AF6565"/>
    <w:rsid w:val="00C8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C4A17"/>
  <w15:chartTrackingRefBased/>
  <w15:docId w15:val="{C195FC55-D120-A64F-BE92-DC515BEA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5BE"/>
    <w:pPr>
      <w:tabs>
        <w:tab w:val="center" w:pos="4680"/>
        <w:tab w:val="right" w:pos="9360"/>
      </w:tabs>
    </w:pPr>
  </w:style>
  <w:style w:type="character" w:customStyle="1" w:styleId="HeaderChar">
    <w:name w:val="Header Char"/>
    <w:basedOn w:val="DefaultParagraphFont"/>
    <w:link w:val="Header"/>
    <w:uiPriority w:val="99"/>
    <w:rsid w:val="009E35BE"/>
  </w:style>
  <w:style w:type="paragraph" w:styleId="Footer">
    <w:name w:val="footer"/>
    <w:basedOn w:val="Normal"/>
    <w:link w:val="FooterChar"/>
    <w:uiPriority w:val="99"/>
    <w:unhideWhenUsed/>
    <w:rsid w:val="009E35BE"/>
    <w:pPr>
      <w:tabs>
        <w:tab w:val="center" w:pos="4680"/>
        <w:tab w:val="right" w:pos="9360"/>
      </w:tabs>
    </w:pPr>
  </w:style>
  <w:style w:type="character" w:customStyle="1" w:styleId="FooterChar">
    <w:name w:val="Footer Char"/>
    <w:basedOn w:val="DefaultParagraphFont"/>
    <w:link w:val="Footer"/>
    <w:uiPriority w:val="99"/>
    <w:rsid w:val="009E35BE"/>
  </w:style>
  <w:style w:type="paragraph" w:customStyle="1" w:styleId="paragraph">
    <w:name w:val="paragraph"/>
    <w:basedOn w:val="Normal"/>
    <w:rsid w:val="009E35B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E35BE"/>
  </w:style>
  <w:style w:type="character" w:customStyle="1" w:styleId="normaltextrun">
    <w:name w:val="normaltextrun"/>
    <w:basedOn w:val="DefaultParagraphFont"/>
    <w:rsid w:val="009E35BE"/>
  </w:style>
  <w:style w:type="character" w:styleId="Hyperlink">
    <w:name w:val="Hyperlink"/>
    <w:basedOn w:val="DefaultParagraphFont"/>
    <w:uiPriority w:val="99"/>
    <w:unhideWhenUsed/>
    <w:rsid w:val="009E35BE"/>
    <w:rPr>
      <w:color w:val="0563C1" w:themeColor="hyperlink"/>
      <w:u w:val="single"/>
    </w:rPr>
  </w:style>
  <w:style w:type="character" w:styleId="UnresolvedMention">
    <w:name w:val="Unresolved Mention"/>
    <w:basedOn w:val="DefaultParagraphFont"/>
    <w:uiPriority w:val="99"/>
    <w:semiHidden/>
    <w:unhideWhenUsed/>
    <w:rsid w:val="009E35BE"/>
    <w:rPr>
      <w:color w:val="605E5C"/>
      <w:shd w:val="clear" w:color="auto" w:fill="E1DFDD"/>
    </w:rPr>
  </w:style>
  <w:style w:type="character" w:styleId="PageNumber">
    <w:name w:val="page number"/>
    <w:basedOn w:val="DefaultParagraphFont"/>
    <w:uiPriority w:val="99"/>
    <w:semiHidden/>
    <w:unhideWhenUsed/>
    <w:rsid w:val="009E35BE"/>
  </w:style>
  <w:style w:type="paragraph" w:styleId="Revision">
    <w:name w:val="Revision"/>
    <w:hidden/>
    <w:uiPriority w:val="99"/>
    <w:semiHidden/>
    <w:rsid w:val="00754367"/>
  </w:style>
  <w:style w:type="character" w:styleId="FootnoteReference">
    <w:name w:val="footnote reference"/>
    <w:uiPriority w:val="99"/>
    <w:semiHidden/>
    <w:unhideWhenUsed/>
    <w:rsid w:val="0040462A"/>
    <w:rPr>
      <w:vertAlign w:val="superscript"/>
    </w:rPr>
  </w:style>
  <w:style w:type="character" w:customStyle="1" w:styleId="markedcontent">
    <w:name w:val="markedcontent"/>
    <w:basedOn w:val="DefaultParagraphFont"/>
    <w:rsid w:val="0040462A"/>
  </w:style>
  <w:style w:type="character" w:styleId="CommentReference">
    <w:name w:val="annotation reference"/>
    <w:basedOn w:val="DefaultParagraphFont"/>
    <w:uiPriority w:val="99"/>
    <w:semiHidden/>
    <w:unhideWhenUsed/>
    <w:rsid w:val="0040462A"/>
    <w:rPr>
      <w:sz w:val="16"/>
      <w:szCs w:val="16"/>
    </w:rPr>
  </w:style>
  <w:style w:type="paragraph" w:styleId="CommentText">
    <w:name w:val="annotation text"/>
    <w:basedOn w:val="Normal"/>
    <w:link w:val="CommentTextChar"/>
    <w:uiPriority w:val="99"/>
    <w:unhideWhenUsed/>
    <w:rsid w:val="0040462A"/>
    <w:pPr>
      <w:spacing w:after="160"/>
    </w:pPr>
    <w:rPr>
      <w:sz w:val="20"/>
      <w:szCs w:val="20"/>
    </w:rPr>
  </w:style>
  <w:style w:type="character" w:customStyle="1" w:styleId="CommentTextChar">
    <w:name w:val="Comment Text Char"/>
    <w:basedOn w:val="DefaultParagraphFont"/>
    <w:link w:val="CommentText"/>
    <w:uiPriority w:val="99"/>
    <w:rsid w:val="0040462A"/>
    <w:rPr>
      <w:sz w:val="20"/>
      <w:szCs w:val="20"/>
    </w:rPr>
  </w:style>
  <w:style w:type="paragraph" w:styleId="ListParagraph">
    <w:name w:val="List Paragraph"/>
    <w:basedOn w:val="Normal"/>
    <w:uiPriority w:val="34"/>
    <w:qFormat/>
    <w:rsid w:val="0040462A"/>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48585D"/>
    <w:rPr>
      <w:sz w:val="20"/>
      <w:szCs w:val="20"/>
    </w:rPr>
  </w:style>
  <w:style w:type="character" w:customStyle="1" w:styleId="FootnoteTextChar">
    <w:name w:val="Footnote Text Char"/>
    <w:basedOn w:val="DefaultParagraphFont"/>
    <w:link w:val="FootnoteText"/>
    <w:uiPriority w:val="99"/>
    <w:rsid w:val="004858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dyn/normlex/es/f?p=NORMLEXPUB:11300:0::NO::P11300_INSTRUMENT_ID:312314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ohchr.org/sites/default/files/UNDRIPManualForNHRIs_SP.pdf" TargetMode="External"/><Relationship Id="rId4" Type="http://schemas.openxmlformats.org/officeDocument/2006/relationships/settings" Target="settings.xml"/><Relationship Id="rId9" Type="http://schemas.openxmlformats.org/officeDocument/2006/relationships/hyperlink" Target="http://www.cidh.oas.org/basicos/Spanish/basicos2a.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standards/subjects-covered-by-international-labour-standards/indigenous-and-tribal-peoples/WCMS_205230/lang--e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A6EB0-50C6-EA42-B1B6-5F13B0CC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Metzger</dc:creator>
  <cp:keywords/>
  <dc:description/>
  <cp:lastModifiedBy>Julia Metzger</cp:lastModifiedBy>
  <cp:revision>4</cp:revision>
  <dcterms:created xsi:type="dcterms:W3CDTF">2023-01-27T17:53:00Z</dcterms:created>
  <dcterms:modified xsi:type="dcterms:W3CDTF">2023-01-27T19:01:00Z</dcterms:modified>
</cp:coreProperties>
</file>